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昌吉州生态环境局昌吉市分局2024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19037C0">
      <w:r>
        <w:br w:type="page"/>
      </w:r>
    </w:p>
    <w:p w14:paraId="1C0AB961">
      <w:pPr>
        <w:spacing w:line="640" w:lineRule="exact"/>
        <w:jc w:val="center"/>
        <w:outlineLvl w:val="1"/>
      </w:pPr>
      <w:r>
        <w:rPr>
          <w:rFonts w:ascii="黑体" w:hAnsi="黑体" w:eastAsia="黑体"/>
          <w:sz w:val="32"/>
        </w:rPr>
        <w:t>第一部分 单位概况</w:t>
      </w:r>
    </w:p>
    <w:p w14:paraId="1C0DA3A3">
      <w:pPr>
        <w:spacing w:line="640" w:lineRule="exact"/>
        <w:ind w:firstLine="640"/>
        <w:jc w:val="both"/>
        <w:outlineLvl w:val="2"/>
      </w:pPr>
      <w:r>
        <w:rPr>
          <w:rFonts w:ascii="黑体" w:hAnsi="黑体" w:eastAsia="黑体"/>
          <w:sz w:val="32"/>
        </w:rPr>
        <w:t>一、主要职能</w:t>
      </w:r>
    </w:p>
    <w:p w14:paraId="34B2631C">
      <w:pPr>
        <w:spacing w:line="580" w:lineRule="exact"/>
        <w:ind w:firstLine="640"/>
        <w:jc w:val="both"/>
        <w:rPr>
          <w:rFonts w:hint="eastAsia" w:eastAsia="仿宋_GB2312"/>
          <w:lang w:eastAsia="zh-CN"/>
        </w:rPr>
      </w:pPr>
      <w:r>
        <w:rPr>
          <w:rFonts w:ascii="仿宋_GB2312" w:hAnsi="仿宋_GB2312" w:eastAsia="仿宋_GB2312"/>
          <w:sz w:val="32"/>
        </w:rPr>
        <w:t>昌吉州生态环境局昌吉市分局是政府工作部门，为正科级。根据机构改革三定方案，本单位承担的职能共10项，具体是</w:t>
      </w:r>
      <w:r>
        <w:rPr>
          <w:rFonts w:hint="eastAsia" w:ascii="仿宋_GB2312" w:hAnsi="仿宋_GB2312" w:eastAsia="仿宋_GB2312"/>
          <w:sz w:val="32"/>
          <w:lang w:eastAsia="zh-CN"/>
        </w:rPr>
        <w:t>：</w:t>
      </w:r>
    </w:p>
    <w:p w14:paraId="3F96E4BC">
      <w:pPr>
        <w:spacing w:line="580" w:lineRule="exact"/>
        <w:ind w:firstLine="640"/>
        <w:jc w:val="both"/>
      </w:pPr>
      <w:r>
        <w:rPr>
          <w:rFonts w:ascii="仿宋_GB2312" w:hAnsi="仿宋_GB2312" w:eastAsia="仿宋_GB2312"/>
          <w:sz w:val="32"/>
        </w:rPr>
        <w:t>1.贯彻执行国家、区、州、市环境保护政策、法律法规、规划，拟订并组织实施昌吉市环境保护规划；组织拟订重要饮用水水源地、重点区域、流域及专项污染防治规划并监督实施。</w:t>
      </w:r>
    </w:p>
    <w:p w14:paraId="5046F23D">
      <w:pPr>
        <w:spacing w:line="580" w:lineRule="exact"/>
        <w:ind w:firstLine="640"/>
        <w:jc w:val="both"/>
      </w:pPr>
      <w:r>
        <w:rPr>
          <w:rFonts w:ascii="仿宋_GB2312" w:hAnsi="仿宋_GB2312" w:eastAsia="仿宋_GB2312"/>
          <w:sz w:val="32"/>
        </w:rPr>
        <w:t>2.组织协调重大环境污染事故和生态破坏事件的调查处理，指导协调重大突发环境事件的应急、预警工作；协调解决有关跨区域环境污染纠纷，统筹协调昌吉市流域、区域污染防治工作。</w:t>
      </w:r>
    </w:p>
    <w:p w14:paraId="205488AC">
      <w:pPr>
        <w:spacing w:line="580" w:lineRule="exact"/>
        <w:ind w:firstLine="640"/>
        <w:jc w:val="both"/>
      </w:pPr>
      <w:r>
        <w:rPr>
          <w:rFonts w:ascii="仿宋_GB2312" w:hAnsi="仿宋_GB2312" w:eastAsia="仿宋_GB2312"/>
          <w:sz w:val="32"/>
        </w:rPr>
        <w:t>3.执行国家主要污染物排放总量控制和排污许可证制度，按照区、州减排目标制定昌吉市总量控制计划并组织实施，督查、督办、核查污染物减排任务完成情况；实施环境保护目标责任制。</w:t>
      </w:r>
    </w:p>
    <w:p w14:paraId="746E54D0">
      <w:pPr>
        <w:spacing w:line="580" w:lineRule="exact"/>
        <w:ind w:firstLine="640"/>
        <w:jc w:val="both"/>
      </w:pPr>
      <w:r>
        <w:rPr>
          <w:rFonts w:ascii="仿宋_GB2312" w:hAnsi="仿宋_GB2312" w:eastAsia="仿宋_GB2312"/>
          <w:sz w:val="32"/>
        </w:rPr>
        <w:t>4.组织实施昌吉市规划与建设项目环境影响评价、环保“三同时”等环境管理制度；对昌吉市涉及环境保护的条例草案提出有关环境保护方面的意见；按照国家、区、州规定审批建设项目环境影响评价文件。</w:t>
      </w:r>
    </w:p>
    <w:p w14:paraId="768CAFA0">
      <w:pPr>
        <w:spacing w:line="580" w:lineRule="exact"/>
        <w:ind w:firstLine="640"/>
        <w:jc w:val="both"/>
      </w:pPr>
      <w:r>
        <w:rPr>
          <w:rFonts w:ascii="仿宋_GB2312" w:hAnsi="仿宋_GB2312" w:eastAsia="仿宋_GB2312"/>
          <w:sz w:val="32"/>
        </w:rPr>
        <w:t>5.监督管理水体、大气、土壤、噪声、恶臭、固体废物、危险废物、机动车等的污染防治；会同有关部门监督管理饮用水水源地环境保护工作；组织指导城镇和农村的环境综合整治工作；组织排污申报登记制度实施。</w:t>
      </w:r>
    </w:p>
    <w:p w14:paraId="1C6A2DCE">
      <w:pPr>
        <w:spacing w:line="580" w:lineRule="exact"/>
        <w:ind w:firstLine="640"/>
        <w:jc w:val="both"/>
      </w:pPr>
      <w:r>
        <w:rPr>
          <w:rFonts w:ascii="仿宋_GB2312" w:hAnsi="仿宋_GB2312" w:eastAsia="仿宋_GB2312"/>
          <w:sz w:val="32"/>
        </w:rPr>
        <w:t>6.拟订生态保护规划，监督对生态环境有影响的自然资源开发利用活动、重要生态环境建设和生态破坏恢复工作；协调指导农村环境保护；协调生物多样性保护。</w:t>
      </w:r>
    </w:p>
    <w:p w14:paraId="6F35CB39">
      <w:pPr>
        <w:spacing w:line="580" w:lineRule="exact"/>
        <w:ind w:firstLine="640"/>
        <w:jc w:val="both"/>
      </w:pPr>
      <w:r>
        <w:rPr>
          <w:rFonts w:ascii="仿宋_GB2312" w:hAnsi="仿宋_GB2312" w:eastAsia="仿宋_GB2312"/>
          <w:sz w:val="32"/>
        </w:rPr>
        <w:t>7.参与辐射环境事故应急处理工作；监督管理放射源安全；监督管理核技术应用、电磁辐射、伴有放射性矿产资源开发利用中的污染防治。</w:t>
      </w:r>
    </w:p>
    <w:p w14:paraId="1E825B75">
      <w:pPr>
        <w:spacing w:line="580" w:lineRule="exact"/>
        <w:ind w:firstLine="640"/>
        <w:jc w:val="both"/>
      </w:pPr>
      <w:r>
        <w:rPr>
          <w:rFonts w:ascii="仿宋_GB2312" w:hAnsi="仿宋_GB2312" w:eastAsia="仿宋_GB2312"/>
          <w:sz w:val="32"/>
        </w:rPr>
        <w:t>8.监督执行环境监测制度和规范，组织实施环境质量监测和污染源监督性监测；编制昌吉市年度环境质量报告书；管理全市环境统计、环境信息</w:t>
      </w:r>
      <w:r>
        <w:rPr>
          <w:rFonts w:hint="eastAsia" w:ascii="仿宋_GB2312" w:hAnsi="仿宋_GB2312" w:eastAsia="仿宋_GB2312"/>
          <w:sz w:val="32"/>
          <w:lang w:eastAsia="zh-CN"/>
        </w:rPr>
        <w:t>；</w:t>
      </w:r>
      <w:r>
        <w:rPr>
          <w:rFonts w:ascii="仿宋_GB2312" w:hAnsi="仿宋_GB2312" w:eastAsia="仿宋_GB2312"/>
          <w:sz w:val="32"/>
        </w:rPr>
        <w:t>建立和实行环境质量公告制度，负责发布昌吉市环境综合性报告和重大环境信息。</w:t>
      </w:r>
    </w:p>
    <w:p w14:paraId="52FE186A">
      <w:pPr>
        <w:spacing w:line="580" w:lineRule="exact"/>
        <w:ind w:firstLine="640"/>
        <w:jc w:val="both"/>
      </w:pPr>
      <w:r>
        <w:rPr>
          <w:rFonts w:ascii="仿宋_GB2312" w:hAnsi="仿宋_GB2312" w:eastAsia="仿宋_GB2312"/>
          <w:sz w:val="32"/>
        </w:rPr>
        <w:t>9.执行国家、区、州环境保护技术政策；参与推动环保产业发展工作。</w:t>
      </w:r>
    </w:p>
    <w:p w14:paraId="201707DF">
      <w:pPr>
        <w:spacing w:line="580" w:lineRule="exact"/>
        <w:ind w:firstLine="640"/>
        <w:jc w:val="both"/>
      </w:pPr>
      <w:r>
        <w:rPr>
          <w:rFonts w:ascii="仿宋_GB2312" w:hAnsi="仿宋_GB2312" w:eastAsia="仿宋_GB2312"/>
          <w:sz w:val="32"/>
        </w:rPr>
        <w:t>10.制定并组织实施环境保护宣传教育规划，开展生态文明建设和环境友好型社会建设的有关宣传教育工作，推动社会公众和社会组织参与环境保护。</w:t>
      </w:r>
    </w:p>
    <w:p w14:paraId="110FF65B">
      <w:pPr>
        <w:spacing w:line="640" w:lineRule="exact"/>
        <w:ind w:firstLine="640"/>
        <w:jc w:val="both"/>
        <w:outlineLvl w:val="2"/>
      </w:pPr>
      <w:r>
        <w:rPr>
          <w:rFonts w:ascii="黑体" w:hAnsi="黑体" w:eastAsia="黑体"/>
          <w:sz w:val="32"/>
        </w:rPr>
        <w:t>二、机构设置及人员情况</w:t>
      </w:r>
    </w:p>
    <w:p w14:paraId="4F4AE47A">
      <w:pPr>
        <w:spacing w:line="580" w:lineRule="exact"/>
        <w:ind w:firstLine="640"/>
        <w:jc w:val="both"/>
      </w:pPr>
      <w:r>
        <w:rPr>
          <w:rFonts w:ascii="仿宋_GB2312" w:hAnsi="仿宋_GB2312" w:eastAsia="仿宋_GB2312"/>
          <w:sz w:val="32"/>
        </w:rPr>
        <w:t>昌吉州生态环境局昌吉市分局2024年度，实有人数57人，其中：在职人员33人，增加22人；离休人员0人，增加0人；退休人员24人,增加24人。</w:t>
      </w:r>
    </w:p>
    <w:p w14:paraId="621A3370">
      <w:pPr>
        <w:spacing w:line="580" w:lineRule="exact"/>
        <w:ind w:firstLine="640"/>
        <w:jc w:val="both"/>
      </w:pPr>
      <w:r>
        <w:rPr>
          <w:rFonts w:ascii="仿宋_GB2312" w:hAnsi="仿宋_GB2312" w:eastAsia="仿宋_GB2312"/>
          <w:sz w:val="32"/>
        </w:rPr>
        <w:t>昌吉州生态环境局昌吉市分局无下属预算单位，下设6个科室，分别是：行政办公室、大气环境科、水与土壤生态环境</w:t>
      </w:r>
      <w:r>
        <w:rPr>
          <w:rFonts w:hint="eastAsia" w:ascii="仿宋_GB2312" w:hAnsi="仿宋_GB2312" w:eastAsia="仿宋_GB2312"/>
          <w:sz w:val="32"/>
          <w:lang w:eastAsia="zh-CN"/>
        </w:rPr>
        <w:t>科</w:t>
      </w:r>
      <w:r>
        <w:rPr>
          <w:rFonts w:ascii="仿宋_GB2312" w:hAnsi="仿宋_GB2312" w:eastAsia="仿宋_GB2312"/>
          <w:sz w:val="32"/>
        </w:rPr>
        <w:t>、应急法规科、生态环境保护综合行政执法大队、机动车尾气排污监管中心。</w:t>
      </w:r>
    </w:p>
    <w:p w14:paraId="1265A30D">
      <w:r>
        <w:br w:type="page"/>
      </w:r>
    </w:p>
    <w:p w14:paraId="1AA0876A">
      <w:pPr>
        <w:spacing w:line="240" w:lineRule="auto"/>
        <w:jc w:val="center"/>
        <w:outlineLvl w:val="1"/>
      </w:pPr>
      <w:r>
        <w:rPr>
          <w:rFonts w:ascii="黑体" w:hAnsi="黑体" w:eastAsia="黑体"/>
          <w:sz w:val="32"/>
        </w:rPr>
        <w:t>第二部分 部门决算情况说明</w:t>
      </w:r>
    </w:p>
    <w:p w14:paraId="77624EFD">
      <w:pPr>
        <w:spacing w:line="640" w:lineRule="exact"/>
        <w:ind w:firstLine="640"/>
        <w:jc w:val="both"/>
        <w:outlineLvl w:val="2"/>
      </w:pPr>
      <w:r>
        <w:rPr>
          <w:rFonts w:ascii="黑体" w:hAnsi="黑体" w:eastAsia="黑体"/>
          <w:sz w:val="32"/>
        </w:rPr>
        <w:t>一、收入支出决算总体情况说明</w:t>
      </w:r>
    </w:p>
    <w:p w14:paraId="6B15034A">
      <w:pPr>
        <w:spacing w:line="580" w:lineRule="exact"/>
        <w:ind w:firstLine="640"/>
        <w:jc w:val="both"/>
      </w:pPr>
      <w:r>
        <w:rPr>
          <w:rFonts w:ascii="仿宋_GB2312" w:hAnsi="仿宋_GB2312" w:eastAsia="仿宋_GB2312"/>
          <w:b/>
          <w:sz w:val="32"/>
        </w:rPr>
        <w:t>2024年度收入总计1,454.20万元，</w:t>
      </w:r>
      <w:r>
        <w:rPr>
          <w:rFonts w:ascii="仿宋_GB2312" w:hAnsi="仿宋_GB2312" w:eastAsia="仿宋_GB2312"/>
          <w:b w:val="0"/>
          <w:sz w:val="32"/>
        </w:rPr>
        <w:t>其中：本年收入合计1,454.19万元，使用非财政拨款结余（含专用结余）0.00万元，年初结转和结余0.02万元。</w:t>
      </w:r>
    </w:p>
    <w:p w14:paraId="58413820">
      <w:pPr>
        <w:spacing w:line="580" w:lineRule="exact"/>
        <w:ind w:firstLine="640"/>
        <w:jc w:val="both"/>
      </w:pPr>
      <w:r>
        <w:rPr>
          <w:rFonts w:ascii="仿宋_GB2312" w:hAnsi="仿宋_GB2312" w:eastAsia="仿宋_GB2312"/>
          <w:b/>
          <w:sz w:val="32"/>
        </w:rPr>
        <w:t>2024年度支出总计1,454.20万元，</w:t>
      </w:r>
      <w:r>
        <w:rPr>
          <w:rFonts w:ascii="仿宋_GB2312" w:hAnsi="仿宋_GB2312" w:eastAsia="仿宋_GB2312"/>
          <w:b w:val="0"/>
          <w:sz w:val="32"/>
        </w:rPr>
        <w:t>其中：本年支出合计</w:t>
      </w:r>
      <w:r>
        <w:rPr>
          <w:rFonts w:ascii="仿宋_GB2312" w:hAnsi="仿宋_GB2312" w:eastAsia="仿宋_GB2312"/>
          <w:b w:val="0"/>
          <w:w w:val="97"/>
          <w:sz w:val="32"/>
        </w:rPr>
        <w:t>1,454.17万元，结余分配0.00万元，年末结转和结余0.04万元。</w:t>
      </w:r>
    </w:p>
    <w:p w14:paraId="244204CE">
      <w:pPr>
        <w:spacing w:line="580" w:lineRule="exact"/>
        <w:ind w:firstLine="640"/>
        <w:jc w:val="both"/>
      </w:pPr>
      <w:r>
        <w:rPr>
          <w:rFonts w:ascii="仿宋_GB2312" w:hAnsi="仿宋_GB2312" w:eastAsia="仿宋_GB2312"/>
          <w:b w:val="0"/>
          <w:sz w:val="32"/>
        </w:rPr>
        <w:t>收入支出总体与上年相比，增加1,233.84万元，增长559.92%，主要原因是：因机构改革，2024年7月起昌吉州生态环境局昌吉市分局上划州本级并与昌吉市生态环境监测站合并，在职人员增加，人员工资调增，相关人员经费增加；增加昌吉市人影作业经费项目、2023年自治区</w:t>
      </w:r>
      <w:bookmarkStart w:id="0" w:name="_GoBack"/>
      <w:r>
        <w:rPr>
          <w:rFonts w:ascii="仿宋_GB2312" w:hAnsi="仿宋_GB2312" w:eastAsia="仿宋_GB2312"/>
          <w:b w:val="0"/>
          <w:sz w:val="32"/>
        </w:rPr>
        <w:t>驻村</w:t>
      </w:r>
      <w:bookmarkEnd w:id="0"/>
      <w:r>
        <w:rPr>
          <w:rFonts w:ascii="仿宋_GB2312" w:hAnsi="仿宋_GB2312" w:eastAsia="仿宋_GB2312"/>
          <w:b w:val="0"/>
          <w:sz w:val="32"/>
        </w:rPr>
        <w:t>工作专项经费、2024昌吉市空气质量自动监测站耗材专项经费项目、昌吉市空气质量提升改善专家团队驻点项目等。</w:t>
      </w:r>
    </w:p>
    <w:p w14:paraId="1BB528F6">
      <w:pPr>
        <w:spacing w:line="640" w:lineRule="exact"/>
        <w:ind w:firstLine="640"/>
        <w:jc w:val="both"/>
        <w:outlineLvl w:val="2"/>
      </w:pPr>
      <w:r>
        <w:rPr>
          <w:rFonts w:ascii="黑体" w:hAnsi="黑体" w:eastAsia="黑体"/>
          <w:sz w:val="32"/>
        </w:rPr>
        <w:t>二、收入决算情况说明</w:t>
      </w:r>
    </w:p>
    <w:p w14:paraId="1EFF00A4">
      <w:pPr>
        <w:spacing w:line="580" w:lineRule="exact"/>
        <w:ind w:firstLine="640"/>
        <w:jc w:val="both"/>
      </w:pPr>
      <w:r>
        <w:rPr>
          <w:rFonts w:ascii="仿宋_GB2312" w:hAnsi="仿宋_GB2312" w:eastAsia="仿宋_GB2312"/>
          <w:b/>
          <w:sz w:val="32"/>
        </w:rPr>
        <w:t>本年收入1,454.19万元，</w:t>
      </w:r>
      <w:r>
        <w:rPr>
          <w:rFonts w:ascii="仿宋_GB2312" w:hAnsi="仿宋_GB2312" w:eastAsia="仿宋_GB2312"/>
          <w:b w:val="0"/>
          <w:sz w:val="32"/>
        </w:rPr>
        <w:t>其中：财政拨款收入1,454.17万元，占100.00%；上级补助收入0.00万元，占0.00%；事业收入0.00万元，占0.00%；经营收入0.00万元，占0.00%；附属单位上缴收入0.00万元，占0.00%；其他收入0.02万元，占0.001%。</w:t>
      </w:r>
    </w:p>
    <w:p w14:paraId="09DA2423">
      <w:pPr>
        <w:spacing w:line="640" w:lineRule="exact"/>
        <w:ind w:firstLine="640"/>
        <w:jc w:val="both"/>
        <w:outlineLvl w:val="2"/>
      </w:pPr>
      <w:r>
        <w:rPr>
          <w:rFonts w:ascii="黑体" w:hAnsi="黑体" w:eastAsia="黑体"/>
          <w:sz w:val="32"/>
        </w:rPr>
        <w:t>三、支出决算情况说明</w:t>
      </w:r>
    </w:p>
    <w:p w14:paraId="055CFF4B">
      <w:pPr>
        <w:spacing w:line="580" w:lineRule="exact"/>
        <w:ind w:firstLine="640"/>
        <w:jc w:val="both"/>
      </w:pPr>
      <w:r>
        <w:rPr>
          <w:rFonts w:ascii="仿宋_GB2312" w:hAnsi="仿宋_GB2312" w:eastAsia="仿宋_GB2312"/>
          <w:b/>
          <w:sz w:val="32"/>
        </w:rPr>
        <w:t>本年支出1,454.17万元，</w:t>
      </w:r>
      <w:r>
        <w:rPr>
          <w:rFonts w:ascii="仿宋_GB2312" w:hAnsi="仿宋_GB2312" w:eastAsia="仿宋_GB2312"/>
          <w:b w:val="0"/>
          <w:sz w:val="32"/>
        </w:rPr>
        <w:t>其中：基本支出945.14万元，占65.00%；项目支出509.03万元，占35.00%；上缴上级支出0.00万元，占0.00%；经营支出0.00万元，占0.00%；对附属单位补助支出0.00万元，占0.00%。</w:t>
      </w:r>
    </w:p>
    <w:p w14:paraId="56B822A9">
      <w:pPr>
        <w:spacing w:line="640" w:lineRule="exact"/>
        <w:ind w:firstLine="640"/>
        <w:jc w:val="both"/>
        <w:outlineLvl w:val="2"/>
      </w:pPr>
      <w:r>
        <w:rPr>
          <w:rFonts w:ascii="黑体" w:hAnsi="黑体" w:eastAsia="黑体"/>
          <w:sz w:val="32"/>
        </w:rPr>
        <w:t>四、财政拨款收入支出决算总体情况说明</w:t>
      </w:r>
    </w:p>
    <w:p w14:paraId="72A65BA6">
      <w:pPr>
        <w:spacing w:line="580" w:lineRule="exact"/>
        <w:ind w:firstLine="640"/>
        <w:jc w:val="both"/>
      </w:pPr>
      <w:r>
        <w:rPr>
          <w:rFonts w:ascii="仿宋_GB2312" w:hAnsi="仿宋_GB2312" w:eastAsia="仿宋_GB2312"/>
          <w:b/>
          <w:sz w:val="32"/>
        </w:rPr>
        <w:t>2024年度财政拨款收入总计1,454.17万元，</w:t>
      </w:r>
      <w:r>
        <w:rPr>
          <w:rFonts w:ascii="仿宋_GB2312" w:hAnsi="仿宋_GB2312" w:eastAsia="仿宋_GB2312"/>
          <w:b w:val="0"/>
          <w:sz w:val="32"/>
        </w:rPr>
        <w:t>其中：年初财政拨款结转和结余0.00万元，本年财政拨款收入1,454.17万元。</w:t>
      </w:r>
      <w:r>
        <w:rPr>
          <w:rFonts w:ascii="仿宋_GB2312" w:hAnsi="仿宋_GB2312" w:eastAsia="仿宋_GB2312"/>
          <w:b/>
          <w:sz w:val="32"/>
        </w:rPr>
        <w:t>财政拨款支出总计1,454.17万元，</w:t>
      </w:r>
      <w:r>
        <w:rPr>
          <w:rFonts w:ascii="仿宋_GB2312" w:hAnsi="仿宋_GB2312" w:eastAsia="仿宋_GB2312"/>
          <w:b w:val="0"/>
          <w:sz w:val="32"/>
        </w:rPr>
        <w:t>其中：年末财政拨款结转和结余0.00万元，本年财政拨款支出1,454.17万元。</w:t>
      </w:r>
    </w:p>
    <w:p w14:paraId="663E447E">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1,233.83万元，增长559.97%，主要原因是：因机构改革，2024年7月起昌吉州生态环境局昌吉市分局上划州本级并与昌吉市生态环境监测站合并，在职人员增加，人员工资调增，相关人员经费增加；增加昌吉市人影作业经费项目、2023年自治区驻村工作专项经费、2024昌吉市空气质量自动监测站耗材专项经费项目、昌吉市空气质量提升改善专家团队驻点项目等。</w:t>
      </w:r>
      <w:r>
        <w:rPr>
          <w:rFonts w:ascii="仿宋_GB2312" w:hAnsi="仿宋_GB2312" w:eastAsia="仿宋_GB2312"/>
          <w:b/>
          <w:sz w:val="32"/>
        </w:rPr>
        <w:t>与年初预算相比，</w:t>
      </w:r>
      <w:r>
        <w:rPr>
          <w:rFonts w:ascii="仿宋_GB2312" w:hAnsi="仿宋_GB2312" w:eastAsia="仿宋_GB2312"/>
          <w:b w:val="0"/>
          <w:sz w:val="32"/>
        </w:rPr>
        <w:t>年初预算数221.32万元，决算数1,454.17万元，预决算差异率557.04%，主要原因是：因机构改革，2024年7月起昌吉州生态环境局昌吉市分局上划州本级并与昌吉市生态环境监测站合并，年中追加昌吉市人影作业经费项目、2023年自治区驻村工作专项经费、2024昌吉市空气质量自动监测站耗材专项经费项目、昌吉市空气质量提升改善专家团队驻点项目等。</w:t>
      </w:r>
    </w:p>
    <w:p w14:paraId="5F9B5F2B">
      <w:pPr>
        <w:spacing w:line="640" w:lineRule="exact"/>
        <w:ind w:firstLine="640"/>
        <w:jc w:val="both"/>
        <w:outlineLvl w:val="2"/>
      </w:pPr>
      <w:r>
        <w:rPr>
          <w:rFonts w:ascii="黑体" w:hAnsi="黑体" w:eastAsia="黑体"/>
          <w:sz w:val="32"/>
        </w:rPr>
        <w:t>五、一般公共预算财政拨款支出决算情况说明</w:t>
      </w:r>
    </w:p>
    <w:p w14:paraId="6AC9BB43">
      <w:pPr>
        <w:spacing w:line="640" w:lineRule="exact"/>
        <w:ind w:firstLine="640"/>
        <w:jc w:val="both"/>
        <w:outlineLvl w:val="3"/>
      </w:pPr>
      <w:r>
        <w:rPr>
          <w:rFonts w:ascii="楷体_GB2312" w:hAnsi="楷体_GB2312" w:eastAsia="楷体_GB2312"/>
          <w:b/>
          <w:sz w:val="32"/>
        </w:rPr>
        <w:t>（一）一般公共预算财政拨款支出决算总体情况</w:t>
      </w:r>
    </w:p>
    <w:p w14:paraId="6F74ECBB">
      <w:pPr>
        <w:spacing w:line="580" w:lineRule="exact"/>
        <w:ind w:firstLine="640"/>
        <w:jc w:val="both"/>
      </w:pPr>
      <w:r>
        <w:rPr>
          <w:rFonts w:ascii="仿宋_GB2312" w:hAnsi="仿宋_GB2312" w:eastAsia="仿宋_GB2312"/>
          <w:b/>
          <w:sz w:val="32"/>
        </w:rPr>
        <w:t>2024年度一般公共预算财政拨款支出1,454.17万元，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1,233.83万元，增长559.97%，主要原因是：因机构改革，2024年7月起昌吉州生态环境局昌吉市分局上划州本级并与昌吉市生态环境监测站合并，在职人员增加，人员工资调增，相关人员经费增加；增加昌吉市人影作业经费项目、2023年自治区驻村工作专项经费、2024昌吉市空气质量自动监测站耗材专项经费项目、昌吉市空气质量提升改善专家团队驻点项目等。</w:t>
      </w:r>
      <w:r>
        <w:rPr>
          <w:rFonts w:ascii="仿宋_GB2312" w:hAnsi="仿宋_GB2312" w:eastAsia="仿宋_GB2312"/>
          <w:b/>
          <w:sz w:val="32"/>
        </w:rPr>
        <w:t>与年初预算相比,</w:t>
      </w:r>
      <w:r>
        <w:rPr>
          <w:rFonts w:ascii="仿宋_GB2312" w:hAnsi="仿宋_GB2312" w:eastAsia="仿宋_GB2312"/>
          <w:b w:val="0"/>
          <w:sz w:val="32"/>
        </w:rPr>
        <w:t>年初预算数221.32万元，决算数1,454.17万元，预决算差异率557.04%，主要原因是：因机构改革，2024年7月起昌吉州生态环境局昌吉市分局上划州本级并与昌吉市生态环境监测站合并，年中追加昌吉市人影作业经费项目、2023年自治区驻村工作专项经费、2024昌吉市空气质量自动监测站耗材专项经费项目、昌吉市空气质量提升改善专家团队驻点项目等。</w:t>
      </w:r>
    </w:p>
    <w:p w14:paraId="5283FCBE">
      <w:pPr>
        <w:spacing w:line="640" w:lineRule="exact"/>
        <w:ind w:firstLine="640"/>
        <w:jc w:val="both"/>
        <w:outlineLvl w:val="3"/>
      </w:pPr>
      <w:r>
        <w:rPr>
          <w:rFonts w:ascii="楷体_GB2312" w:hAnsi="楷体_GB2312" w:eastAsia="楷体_GB2312"/>
          <w:b/>
          <w:sz w:val="32"/>
        </w:rPr>
        <w:t>（二）一般公共预算财政拨款支出决算结构情况</w:t>
      </w:r>
    </w:p>
    <w:p w14:paraId="7F118C0F">
      <w:pPr>
        <w:spacing w:line="580" w:lineRule="exact"/>
        <w:ind w:firstLine="640"/>
        <w:jc w:val="both"/>
      </w:pPr>
      <w:r>
        <w:rPr>
          <w:rFonts w:ascii="仿宋_GB2312" w:hAnsi="仿宋_GB2312" w:eastAsia="仿宋_GB2312"/>
          <w:b w:val="0"/>
          <w:sz w:val="32"/>
        </w:rPr>
        <w:t>1.社会保障和就业支出(类)202.71万元,占13.94%。</w:t>
      </w:r>
    </w:p>
    <w:p w14:paraId="4EAEE10A">
      <w:pPr>
        <w:spacing w:line="580" w:lineRule="exact"/>
        <w:ind w:firstLine="640"/>
        <w:jc w:val="both"/>
      </w:pPr>
      <w:r>
        <w:rPr>
          <w:rFonts w:ascii="仿宋_GB2312" w:hAnsi="仿宋_GB2312" w:eastAsia="仿宋_GB2312"/>
          <w:b w:val="0"/>
          <w:sz w:val="32"/>
        </w:rPr>
        <w:t>2.卫生健康支出(类)42.27万元,占2.91%。</w:t>
      </w:r>
    </w:p>
    <w:p w14:paraId="762053B9">
      <w:pPr>
        <w:spacing w:line="580" w:lineRule="exact"/>
        <w:ind w:firstLine="640"/>
        <w:jc w:val="both"/>
      </w:pPr>
      <w:r>
        <w:rPr>
          <w:rFonts w:ascii="仿宋_GB2312" w:hAnsi="仿宋_GB2312" w:eastAsia="仿宋_GB2312"/>
          <w:b w:val="0"/>
          <w:sz w:val="32"/>
        </w:rPr>
        <w:t>3.节能环保支出(类)1,145.12万元,占78.75%。</w:t>
      </w:r>
    </w:p>
    <w:p w14:paraId="234297C6">
      <w:pPr>
        <w:spacing w:line="580" w:lineRule="exact"/>
        <w:ind w:firstLine="640"/>
        <w:jc w:val="both"/>
      </w:pPr>
      <w:r>
        <w:rPr>
          <w:rFonts w:ascii="仿宋_GB2312" w:hAnsi="仿宋_GB2312" w:eastAsia="仿宋_GB2312"/>
          <w:b w:val="0"/>
          <w:sz w:val="32"/>
        </w:rPr>
        <w:t>4.住房保障支出(类)56.09万元,占3.86%。</w:t>
      </w:r>
    </w:p>
    <w:p w14:paraId="58ED1C5E">
      <w:pPr>
        <w:spacing w:line="580" w:lineRule="exact"/>
        <w:ind w:firstLine="640"/>
        <w:jc w:val="both"/>
      </w:pPr>
      <w:r>
        <w:rPr>
          <w:rFonts w:ascii="仿宋_GB2312" w:hAnsi="仿宋_GB2312" w:eastAsia="仿宋_GB2312"/>
          <w:b w:val="0"/>
          <w:sz w:val="32"/>
        </w:rPr>
        <w:t>5.其他支出(类)7.98万元,占0.55%。</w:t>
      </w:r>
    </w:p>
    <w:p w14:paraId="02303436">
      <w:pPr>
        <w:spacing w:line="640" w:lineRule="exact"/>
        <w:ind w:firstLine="640"/>
        <w:jc w:val="both"/>
        <w:outlineLvl w:val="3"/>
      </w:pPr>
      <w:r>
        <w:rPr>
          <w:rFonts w:ascii="楷体_GB2312" w:hAnsi="楷体_GB2312" w:eastAsia="楷体_GB2312"/>
          <w:b/>
          <w:sz w:val="32"/>
        </w:rPr>
        <w:t>（三）一般公共预算财政拨款支出决算具体情况</w:t>
      </w:r>
    </w:p>
    <w:p w14:paraId="23EB3E7E">
      <w:pPr>
        <w:spacing w:line="580" w:lineRule="exact"/>
        <w:ind w:firstLine="640"/>
        <w:jc w:val="both"/>
      </w:pPr>
      <w:r>
        <w:rPr>
          <w:rFonts w:ascii="仿宋_GB2312" w:hAnsi="仿宋_GB2312" w:eastAsia="仿宋_GB2312"/>
          <w:b w:val="0"/>
          <w:sz w:val="32"/>
        </w:rPr>
        <w:t>1.一般公共服务支出(类)其他一般公共服务支出(款)其他一般公共服务支出(项):支出决算数为0.00万元，比上年决算减少7.00万元，下降100.00%,主要原因是：本年减少环境监测运转费。</w:t>
      </w:r>
    </w:p>
    <w:p w14:paraId="38515DBA">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69.74万元，比上年决算增加50.37万元，增长260.04%,主要原因是：因机构改革，2024年7月起昌吉州生态环境局昌吉市分局上划州本级并与昌吉市生态环境监测站合并，</w:t>
      </w:r>
      <w:r>
        <w:rPr>
          <w:rFonts w:hint="eastAsia" w:ascii="仿宋_GB2312" w:hAnsi="仿宋_GB2312" w:eastAsia="仿宋_GB2312"/>
          <w:b w:val="0"/>
          <w:sz w:val="32"/>
          <w:lang w:val="en-US" w:eastAsia="zh-CN"/>
        </w:rPr>
        <w:t>在职人员增加，人员工资调增，养老保险缴费支出增加</w:t>
      </w:r>
      <w:r>
        <w:rPr>
          <w:rFonts w:ascii="仿宋_GB2312" w:hAnsi="仿宋_GB2312" w:eastAsia="仿宋_GB2312"/>
          <w:b w:val="0"/>
          <w:sz w:val="32"/>
        </w:rPr>
        <w:t>。</w:t>
      </w:r>
    </w:p>
    <w:p w14:paraId="701E9687">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132.97万元，比上年决算增加123.28万元，增长1,272.24%,主要原因是：因机构改革，2024年7月起昌吉州生态环境局昌吉市分局上划州本级并与昌吉市生态环境监测站合并，退休人员增加，职业年金缴费增加。</w:t>
      </w:r>
    </w:p>
    <w:p w14:paraId="0DFECBAE">
      <w:pPr>
        <w:spacing w:line="580" w:lineRule="exact"/>
        <w:ind w:firstLine="640"/>
        <w:jc w:val="both"/>
      </w:pPr>
      <w:r>
        <w:rPr>
          <w:rFonts w:ascii="仿宋_GB2312" w:hAnsi="仿宋_GB2312" w:eastAsia="仿宋_GB2312"/>
          <w:b w:val="0"/>
          <w:sz w:val="32"/>
        </w:rPr>
        <w:t>4.卫生健康支出(类)行政事业单位医疗(款)行政单位医疗(项):支出决算数为21.16万元，比上年决算增加21.16万元，增长100.00%,主要原因是：因机构改革，2024年7月起昌吉州生态环境局昌吉市分局上划州本级并与昌吉市生态环境监测站合并，在职人员增加，在职人员工资调增，医疗缴费增加。</w:t>
      </w:r>
    </w:p>
    <w:p w14:paraId="350DB45F">
      <w:pPr>
        <w:spacing w:line="580" w:lineRule="exact"/>
        <w:ind w:firstLine="640"/>
        <w:jc w:val="both"/>
      </w:pPr>
      <w:r>
        <w:rPr>
          <w:rFonts w:ascii="仿宋_GB2312" w:hAnsi="仿宋_GB2312" w:eastAsia="仿宋_GB2312"/>
          <w:b w:val="0"/>
          <w:sz w:val="32"/>
        </w:rPr>
        <w:t>5.卫生健康支出(类)行政事业单位医疗(款)事业单位医疗(项):支出决算数为17.42万元，比上年决算增加7.73万元，增长79.77%,主要原因是：因机构改革，2024年7月起昌吉州生态环境局昌吉市分局上划州本级并与昌吉市生态环境监测站合并，在职人员增加，在职人员工资调增，医疗缴费增加。</w:t>
      </w:r>
    </w:p>
    <w:p w14:paraId="5773331E">
      <w:pPr>
        <w:spacing w:line="580" w:lineRule="exact"/>
        <w:ind w:firstLine="640"/>
        <w:jc w:val="both"/>
      </w:pPr>
      <w:r>
        <w:rPr>
          <w:rFonts w:ascii="仿宋_GB2312" w:hAnsi="仿宋_GB2312" w:eastAsia="仿宋_GB2312"/>
          <w:b w:val="0"/>
          <w:sz w:val="32"/>
        </w:rPr>
        <w:t>6.卫生健康支出(类)行政事业单位医疗(款)公务员医疗补助(项):支出决算数为3.35万元，比上年决算增加2.74万元，增长449.18%,主要原因是：因机构改革，2024年7月起昌吉州生态环境局昌吉市分局上划州本级并与昌吉市生态环境监测站合并，在职人员增加，在职人员工资调增，医疗缴费增加。</w:t>
      </w:r>
    </w:p>
    <w:p w14:paraId="2B0A7E50">
      <w:pPr>
        <w:spacing w:line="580" w:lineRule="exact"/>
        <w:ind w:firstLine="640"/>
        <w:jc w:val="both"/>
      </w:pPr>
      <w:r>
        <w:rPr>
          <w:rFonts w:ascii="仿宋_GB2312" w:hAnsi="仿宋_GB2312" w:eastAsia="仿宋_GB2312"/>
          <w:b w:val="0"/>
          <w:sz w:val="32"/>
        </w:rPr>
        <w:t>7.卫生健康支出(类)行政事业单位医疗(款)其他行政事业单位医疗支出(项):支出决算数为0.34万元，比上年决算增加0.27万元，增长385.71%,主要原因是：因机构改革，2024年7月起昌吉州生态环境局昌吉市分局上划州本级并与昌吉市生态环境监测站合并，在职人员增加，在职人员工资调增，医疗缴费增加。</w:t>
      </w:r>
    </w:p>
    <w:p w14:paraId="2BB1B644">
      <w:pPr>
        <w:spacing w:line="580" w:lineRule="exact"/>
        <w:ind w:firstLine="640"/>
        <w:jc w:val="both"/>
      </w:pPr>
      <w:r>
        <w:rPr>
          <w:rFonts w:ascii="仿宋_GB2312" w:hAnsi="仿宋_GB2312" w:eastAsia="仿宋_GB2312"/>
          <w:b w:val="0"/>
          <w:sz w:val="32"/>
        </w:rPr>
        <w:t>8.节能环保支出(类)环境保护管理事务(款)行政运行(项):支出决算数为468.01万元，比上年决算增加468.01万元，增长100.00%,主要原因是：因机构改革，2024年7月起昌吉州生态环境局昌吉市分局上划州本级并与昌吉市生态环境监测站合并，在职人员增加，在职人员工资调增，人员经费增加。</w:t>
      </w:r>
    </w:p>
    <w:p w14:paraId="7B101F7C">
      <w:pPr>
        <w:spacing w:line="580" w:lineRule="exact"/>
        <w:ind w:firstLine="640"/>
        <w:jc w:val="both"/>
      </w:pPr>
      <w:r>
        <w:rPr>
          <w:rFonts w:ascii="仿宋_GB2312" w:hAnsi="仿宋_GB2312" w:eastAsia="仿宋_GB2312"/>
          <w:b w:val="0"/>
          <w:sz w:val="32"/>
        </w:rPr>
        <w:t>9.节能环保支出(类)环境保护管理事务(款)其他环境保护管理事务支出(项):支出决算数为20.00万元，比上年决算增加20.00万元，增长100.00%,主要原因是：本年增加昌吉市人影作业经费。</w:t>
      </w:r>
    </w:p>
    <w:p w14:paraId="46D1D35B">
      <w:pPr>
        <w:spacing w:line="580" w:lineRule="exact"/>
        <w:ind w:firstLine="640"/>
        <w:jc w:val="both"/>
      </w:pPr>
      <w:r>
        <w:rPr>
          <w:rFonts w:ascii="仿宋_GB2312" w:hAnsi="仿宋_GB2312" w:eastAsia="仿宋_GB2312"/>
          <w:b w:val="0"/>
          <w:sz w:val="32"/>
        </w:rPr>
        <w:t>10.节能环保支出(类)污染防治(款)大气(项):支出决算数为410.46万元，比上年决算增加410.46万元，增长100.00%,主要原因是：本年增加2024昌吉市空气质量自动监测站耗材、昌吉市空气质量选点监测、昌吉市空气质量提升改善专家团队驻点、2023年中央大气污染防治资金[第二批]。</w:t>
      </w:r>
    </w:p>
    <w:p w14:paraId="6E47E99C">
      <w:pPr>
        <w:spacing w:line="580" w:lineRule="exact"/>
        <w:ind w:firstLine="640"/>
        <w:jc w:val="both"/>
      </w:pPr>
      <w:r>
        <w:rPr>
          <w:rFonts w:ascii="仿宋_GB2312" w:hAnsi="仿宋_GB2312" w:eastAsia="仿宋_GB2312"/>
          <w:b w:val="0"/>
          <w:sz w:val="32"/>
        </w:rPr>
        <w:t>11.节能环保支出(类)污染减排(款)生态环境监测与信息(项):支出决算数为183.06万元，比上年决算增加24.38万元，增长15.36%,主要原因是：本年增加环境监测运转费。</w:t>
      </w:r>
    </w:p>
    <w:p w14:paraId="6ECB28AD">
      <w:pPr>
        <w:spacing w:line="580" w:lineRule="exact"/>
        <w:ind w:firstLine="640"/>
        <w:jc w:val="both"/>
      </w:pPr>
      <w:r>
        <w:rPr>
          <w:rFonts w:ascii="仿宋_GB2312" w:hAnsi="仿宋_GB2312" w:eastAsia="仿宋_GB2312"/>
          <w:b w:val="0"/>
          <w:sz w:val="32"/>
        </w:rPr>
        <w:t>12.节能环保支出(类)污染减排(款)生态环境执法监察(项):支出决算数为18.60万元，比上年决算增加18.60万元，增长100.00%,主要原因是：本年增加</w:t>
      </w:r>
      <w:r>
        <w:rPr>
          <w:rFonts w:hint="eastAsia" w:ascii="仿宋_GB2312" w:hAnsi="仿宋_GB2312" w:eastAsia="仿宋_GB2312"/>
          <w:b w:val="0"/>
          <w:sz w:val="32"/>
          <w:lang w:eastAsia="zh-CN"/>
        </w:rPr>
        <w:t>2022—2023</w:t>
      </w:r>
      <w:r>
        <w:rPr>
          <w:rFonts w:ascii="仿宋_GB2312" w:hAnsi="仿宋_GB2312" w:eastAsia="仿宋_GB2312"/>
          <w:b w:val="0"/>
          <w:sz w:val="32"/>
        </w:rPr>
        <w:t>生态环境执法监测服务。</w:t>
      </w:r>
    </w:p>
    <w:p w14:paraId="6F4E3210">
      <w:pPr>
        <w:spacing w:line="580" w:lineRule="exact"/>
        <w:ind w:firstLine="640"/>
        <w:jc w:val="both"/>
      </w:pPr>
      <w:r>
        <w:rPr>
          <w:rFonts w:ascii="仿宋_GB2312" w:hAnsi="仿宋_GB2312" w:eastAsia="仿宋_GB2312"/>
          <w:b w:val="0"/>
          <w:sz w:val="32"/>
        </w:rPr>
        <w:t>13.节能环保支出(类)污染减排(款)其他污染减排支出(项):支出决算数为45.00万元，比上年决算增加45.00万元，增长100.00%,主要原因是：本年增加2024年昌吉市中央环保督察整改办公室二级网格员劳务费。</w:t>
      </w:r>
    </w:p>
    <w:p w14:paraId="78E5CBF3">
      <w:pPr>
        <w:spacing w:line="580" w:lineRule="exact"/>
        <w:ind w:firstLine="640"/>
        <w:jc w:val="both"/>
      </w:pPr>
      <w:r>
        <w:rPr>
          <w:rFonts w:ascii="仿宋_GB2312" w:hAnsi="仿宋_GB2312" w:eastAsia="仿宋_GB2312"/>
          <w:b w:val="0"/>
          <w:sz w:val="32"/>
        </w:rPr>
        <w:t>14.住房保障支出(类)住房改革支出(款)住房公积金(项):支出决算数为56.09万元，比上年决算增加40.84万元，增长267.80%,主要原因是：因机构改革，2024年7月起昌吉州生态环境局昌吉市分局上划州本级并与昌吉市生态环境监测站合并，在职人员增加，人员工资调增，住房公积金缴费增加。</w:t>
      </w:r>
    </w:p>
    <w:p w14:paraId="508E164E">
      <w:pPr>
        <w:spacing w:line="580" w:lineRule="exact"/>
        <w:ind w:firstLine="640"/>
        <w:jc w:val="both"/>
      </w:pPr>
      <w:r>
        <w:rPr>
          <w:rFonts w:ascii="仿宋_GB2312" w:hAnsi="仿宋_GB2312" w:eastAsia="仿宋_GB2312"/>
          <w:b w:val="0"/>
          <w:sz w:val="32"/>
        </w:rPr>
        <w:t>15.其他支出(类)其他支出(款)其他支出(项):支出决算数为7.98万元，比上年决算增加7.98万元，增长100.00%,主要原因是：本年增加为民办实事经费。</w:t>
      </w:r>
    </w:p>
    <w:p w14:paraId="3D44DE51">
      <w:pPr>
        <w:spacing w:line="640" w:lineRule="exact"/>
        <w:ind w:firstLine="640"/>
        <w:jc w:val="both"/>
        <w:outlineLvl w:val="2"/>
      </w:pPr>
      <w:r>
        <w:rPr>
          <w:rFonts w:ascii="黑体" w:hAnsi="黑体" w:eastAsia="黑体"/>
          <w:sz w:val="32"/>
        </w:rPr>
        <w:t>六、一般公共预算财政拨款基本支出决算情况说明</w:t>
      </w:r>
    </w:p>
    <w:p w14:paraId="3E9065BF">
      <w:pPr>
        <w:spacing w:line="580" w:lineRule="exact"/>
        <w:ind w:firstLine="640"/>
        <w:jc w:val="both"/>
      </w:pPr>
      <w:r>
        <w:rPr>
          <w:rFonts w:ascii="仿宋_GB2312" w:hAnsi="仿宋_GB2312" w:eastAsia="仿宋_GB2312"/>
          <w:b w:val="0"/>
          <w:sz w:val="32"/>
        </w:rPr>
        <w:t>2024年度一般公共预算财政拨款基本支出945.14万元，其中：</w:t>
      </w:r>
      <w:r>
        <w:rPr>
          <w:rFonts w:ascii="仿宋_GB2312" w:hAnsi="仿宋_GB2312" w:eastAsia="仿宋_GB2312"/>
          <w:b/>
          <w:sz w:val="32"/>
        </w:rPr>
        <w:t>人员经费863.35万元，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14:paraId="5C5A2827">
      <w:pPr>
        <w:spacing w:line="580" w:lineRule="exact"/>
        <w:ind w:firstLine="640"/>
        <w:jc w:val="both"/>
      </w:pPr>
      <w:r>
        <w:rPr>
          <w:rFonts w:ascii="仿宋_GB2312" w:hAnsi="仿宋_GB2312" w:eastAsia="仿宋_GB2312"/>
          <w:b/>
          <w:sz w:val="32"/>
        </w:rPr>
        <w:t>公用经费81.79万元，</w:t>
      </w:r>
      <w:r>
        <w:rPr>
          <w:rFonts w:ascii="仿宋_GB2312" w:hAnsi="仿宋_GB2312" w:eastAsia="仿宋_GB2312"/>
          <w:b w:val="0"/>
          <w:sz w:val="32"/>
        </w:rPr>
        <w:t>包括：办公费、印刷费、咨询费、手续费、水费、电费、邮电费、取暖费、物业管理费、差旅费、维修（护）费、培训费、劳务费、工会经费、福利费、公务用车运行维护费、其他交通费用、其他商品和服务支出。</w:t>
      </w:r>
    </w:p>
    <w:p w14:paraId="5082EF83">
      <w:pPr>
        <w:spacing w:line="640" w:lineRule="exact"/>
        <w:ind w:firstLine="640"/>
        <w:jc w:val="both"/>
        <w:outlineLvl w:val="2"/>
      </w:pPr>
      <w:r>
        <w:rPr>
          <w:rFonts w:ascii="黑体" w:hAnsi="黑体" w:eastAsia="黑体"/>
          <w:sz w:val="32"/>
        </w:rPr>
        <w:t>七、政府性基金预算财政拨款收入支出决算情况说明</w:t>
      </w:r>
    </w:p>
    <w:p w14:paraId="54B1BB7B">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09F29D8">
      <w:pPr>
        <w:spacing w:line="640" w:lineRule="exact"/>
        <w:ind w:firstLine="640"/>
        <w:jc w:val="both"/>
        <w:outlineLvl w:val="2"/>
      </w:pPr>
      <w:r>
        <w:rPr>
          <w:rFonts w:ascii="黑体" w:hAnsi="黑体" w:eastAsia="黑体"/>
          <w:sz w:val="32"/>
        </w:rPr>
        <w:t>八、国有资本经营预算财政拨款收入支出决算情况说明</w:t>
      </w:r>
    </w:p>
    <w:p w14:paraId="1CAE73A3">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865BAE0">
      <w:pPr>
        <w:spacing w:line="640" w:lineRule="exact"/>
        <w:ind w:firstLine="640"/>
        <w:jc w:val="both"/>
        <w:outlineLvl w:val="2"/>
      </w:pPr>
      <w:r>
        <w:rPr>
          <w:rFonts w:ascii="黑体" w:hAnsi="黑体" w:eastAsia="黑体"/>
          <w:sz w:val="32"/>
        </w:rPr>
        <w:t>九、财政拨款“三公”经费支出决算情况说明</w:t>
      </w:r>
    </w:p>
    <w:p w14:paraId="69DF0932">
      <w:pPr>
        <w:spacing w:line="580" w:lineRule="exact"/>
        <w:ind w:firstLine="640"/>
        <w:jc w:val="both"/>
      </w:pPr>
      <w:r>
        <w:rPr>
          <w:rFonts w:ascii="仿宋_GB2312" w:hAnsi="仿宋_GB2312" w:eastAsia="仿宋_GB2312"/>
          <w:b/>
          <w:sz w:val="32"/>
        </w:rPr>
        <w:t>2024年度财政拨款“三公”经费支出10.39万元，</w:t>
      </w:r>
      <w:r>
        <w:rPr>
          <w:rFonts w:ascii="仿宋_GB2312" w:hAnsi="仿宋_GB2312" w:eastAsia="仿宋_GB2312"/>
          <w:b w:val="0"/>
          <w:sz w:val="32"/>
        </w:rPr>
        <w:t>比上年增加6.99万元，增长205.59%，主要原因是：因机构改革，2024年7月起昌吉州生态环境局昌吉市分局上划州本级并与昌吉市生态环境监测站合并，公务用车运行维护费增加。其中：因公出国（境）费支出0.00万元，占0.00%，比上年增加0.00万元，增长0.00%，主要原因是：2023年与2024年均未安排因公出国（境）费支出。公务用车购置及运行维护费支出10.39万元，占100.00%，比上年增加6.99万元，增长205.59%，主要原因是：因机构改革，2024年7月起昌吉州生态环境局昌吉市分局上划州本级并与昌吉市生态环境监测站合并，公务用车运行维护费增加。公务接待费支出0.00万元，占0.00%，比上年增加0.00万元，增长0.00%，主要原因是：2023年与2024年均未安排公务接待费支出。</w:t>
      </w:r>
    </w:p>
    <w:p w14:paraId="0BF47D52">
      <w:pPr>
        <w:spacing w:line="580" w:lineRule="exact"/>
        <w:ind w:firstLine="640"/>
        <w:jc w:val="both"/>
      </w:pPr>
      <w:r>
        <w:rPr>
          <w:rFonts w:ascii="仿宋_GB2312" w:hAnsi="仿宋_GB2312" w:eastAsia="仿宋_GB2312"/>
          <w:b/>
          <w:sz w:val="32"/>
        </w:rPr>
        <w:t>具体情况如下：</w:t>
      </w:r>
    </w:p>
    <w:p w14:paraId="6D7E9AE4">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FD1FD4F">
      <w:pPr>
        <w:spacing w:line="580" w:lineRule="exact"/>
        <w:ind w:firstLine="640"/>
        <w:jc w:val="both"/>
      </w:pPr>
      <w:r>
        <w:rPr>
          <w:rFonts w:ascii="仿宋_GB2312" w:hAnsi="仿宋_GB2312" w:eastAsia="仿宋_GB2312"/>
          <w:b w:val="0"/>
          <w:sz w:val="32"/>
        </w:rPr>
        <w:t>公务用车购置及运行维护费10.39万元，其中：公务用车购置费0.00万元，公务用车运行维护费10.39万元。公务用车运行维护费开支内容包括车辆加油费、维修费、保险费、审车费、过路费等。公务用车购置数0辆，公务用车保有量8辆。国有资产占用情况中固定资产车辆7辆，与公务用车保有量差异原因是：借用其他单位车辆，车辆费用由本单位支付。</w:t>
      </w:r>
    </w:p>
    <w:p w14:paraId="0B2ACE84">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7A336021">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10.39万元，决算数10.39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10.39万元，决算数10.39万元，预决算差异率0.00%，主要原因是：严格按照预算执行，预决算无差异。公务接待费全年预算数0.00万元，决算数0.00万元，预决算差异率0.00%，主要原因是：本单位无公务接待费。</w:t>
      </w:r>
    </w:p>
    <w:p w14:paraId="7B447EB0">
      <w:pPr>
        <w:spacing w:line="640" w:lineRule="exact"/>
        <w:ind w:firstLine="640"/>
        <w:jc w:val="both"/>
        <w:outlineLvl w:val="2"/>
      </w:pPr>
      <w:r>
        <w:rPr>
          <w:rFonts w:ascii="黑体" w:hAnsi="黑体" w:eastAsia="黑体"/>
          <w:sz w:val="32"/>
        </w:rPr>
        <w:t>十、其他重要事项的情况说明</w:t>
      </w:r>
    </w:p>
    <w:p w14:paraId="4CDBD2ED">
      <w:pPr>
        <w:spacing w:line="640" w:lineRule="exact"/>
        <w:ind w:firstLine="640"/>
        <w:jc w:val="both"/>
        <w:outlineLvl w:val="3"/>
      </w:pPr>
      <w:r>
        <w:rPr>
          <w:rFonts w:ascii="楷体_GB2312" w:hAnsi="楷体_GB2312" w:eastAsia="楷体_GB2312"/>
          <w:b/>
          <w:sz w:val="32"/>
        </w:rPr>
        <w:t>（一）机关运行经费及公用经费支出情况</w:t>
      </w:r>
    </w:p>
    <w:p w14:paraId="28BA8017">
      <w:pPr>
        <w:spacing w:line="580" w:lineRule="exact"/>
        <w:ind w:firstLine="640"/>
        <w:jc w:val="both"/>
      </w:pPr>
      <w:r>
        <w:rPr>
          <w:rFonts w:ascii="仿宋_GB2312" w:hAnsi="仿宋_GB2312" w:eastAsia="仿宋_GB2312"/>
          <w:b w:val="0"/>
          <w:sz w:val="32"/>
        </w:rPr>
        <w:t>2024年度昌吉州生态环境局昌吉市分局（行政单位和参照公务员法管理事业单位）机关运行经费支出81.79万元，比上年增加81.79万元，增长100.00%，主要原因是：因机构改革，2024年7月起昌吉州生态环境局昌吉市分局上划州本级并与昌吉市生态环境监测站合并，机关运行经费增加。</w:t>
      </w:r>
    </w:p>
    <w:p w14:paraId="69CFCC7E">
      <w:pPr>
        <w:spacing w:line="640" w:lineRule="exact"/>
        <w:ind w:firstLine="640"/>
        <w:jc w:val="both"/>
        <w:outlineLvl w:val="3"/>
      </w:pPr>
      <w:r>
        <w:rPr>
          <w:rFonts w:ascii="楷体_GB2312" w:hAnsi="楷体_GB2312" w:eastAsia="楷体_GB2312"/>
          <w:b/>
          <w:sz w:val="32"/>
        </w:rPr>
        <w:t>（二）政府采购情况</w:t>
      </w:r>
    </w:p>
    <w:p w14:paraId="7A48E644">
      <w:pPr>
        <w:spacing w:line="580" w:lineRule="exact"/>
        <w:ind w:firstLine="640"/>
        <w:jc w:val="both"/>
      </w:pPr>
      <w:r>
        <w:rPr>
          <w:rFonts w:ascii="仿宋_GB2312" w:hAnsi="仿宋_GB2312" w:eastAsia="仿宋_GB2312"/>
          <w:b w:val="0"/>
          <w:sz w:val="32"/>
        </w:rPr>
        <w:t>2024年度政府采购支出总额5.90万元，其中：政府采购货物支出0.61万元、政府采购工程支出0.00万元、政府采购服务支出5.28万元。</w:t>
      </w:r>
    </w:p>
    <w:p w14:paraId="029F703E">
      <w:pPr>
        <w:spacing w:line="580" w:lineRule="exact"/>
        <w:ind w:firstLine="640"/>
        <w:jc w:val="both"/>
      </w:pPr>
      <w:r>
        <w:rPr>
          <w:rFonts w:ascii="仿宋_GB2312" w:hAnsi="仿宋_GB2312" w:eastAsia="仿宋_GB2312"/>
          <w:b w:val="0"/>
          <w:sz w:val="32"/>
        </w:rPr>
        <w:t>授予中小企业合同金额5.90万元，占政府采购支出总额的100.00%，其中：授予小微企业合同金额5.90万元，占政府采购支出总额的100.00%。</w:t>
      </w:r>
    </w:p>
    <w:p w14:paraId="2BE8D18C">
      <w:pPr>
        <w:spacing w:line="640" w:lineRule="exact"/>
        <w:ind w:firstLine="640"/>
        <w:jc w:val="both"/>
        <w:outlineLvl w:val="3"/>
      </w:pPr>
      <w:r>
        <w:rPr>
          <w:rFonts w:ascii="楷体_GB2312" w:hAnsi="楷体_GB2312" w:eastAsia="楷体_GB2312"/>
          <w:b/>
          <w:sz w:val="32"/>
        </w:rPr>
        <w:t>（三）国有资产占用情况说明</w:t>
      </w:r>
    </w:p>
    <w:p w14:paraId="76AA0A54">
      <w:pPr>
        <w:spacing w:line="580" w:lineRule="exact"/>
        <w:ind w:firstLine="640"/>
        <w:jc w:val="both"/>
      </w:pPr>
      <w:r>
        <w:rPr>
          <w:rFonts w:ascii="仿宋_GB2312" w:hAnsi="仿宋_GB2312" w:eastAsia="仿宋_GB2312"/>
          <w:b w:val="0"/>
          <w:sz w:val="32"/>
        </w:rPr>
        <w:t>截至2024年12月31日，房屋5,001.45平方米，价值2,310.63万元。车辆7辆，价值114.28万元，其中：副部（省）级及以上领导用车0辆、主要负责人用车0辆、机要通信用车0辆、应急保障用车0辆、执法执勤用车4辆、特种专业技术用车1辆、离退休干部服务用车0辆、其他用车2辆，其他用车主要是：一般公务用车。单价100万元（含）以上设备（不含车辆）7台（套）。</w:t>
      </w:r>
    </w:p>
    <w:p w14:paraId="1762A5F1">
      <w:pPr>
        <w:spacing w:line="640" w:lineRule="exact"/>
        <w:ind w:firstLine="640"/>
        <w:jc w:val="both"/>
        <w:outlineLvl w:val="2"/>
      </w:pPr>
      <w:r>
        <w:rPr>
          <w:rFonts w:ascii="黑体" w:hAnsi="黑体" w:eastAsia="黑体"/>
          <w:sz w:val="32"/>
        </w:rPr>
        <w:t>十一、预算绩效的情况说明</w:t>
      </w:r>
    </w:p>
    <w:p w14:paraId="3894443E">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1,454.20万元，实际执行总额1,454.17万元；预算绩效评价项目1个，全年预算数7.00万元，全年执行数7.00万元。预算绩效管理取得的成效：一是按照项目绩效管理各项要求，确保资金的高效使用，切实发挥财政资金的使用效果。各项补助资金项目在执行环节，均能按照年初既定任务目标开展，较好</w:t>
      </w:r>
      <w:r>
        <w:rPr>
          <w:rFonts w:hint="eastAsia" w:ascii="仿宋_GB2312" w:hAnsi="仿宋_GB2312" w:eastAsia="仿宋_GB2312"/>
          <w:b w:val="0"/>
          <w:sz w:val="32"/>
          <w:lang w:eastAsia="zh-CN"/>
        </w:rPr>
        <w:t>地</w:t>
      </w:r>
      <w:r>
        <w:rPr>
          <w:rFonts w:ascii="仿宋_GB2312" w:hAnsi="仿宋_GB2312" w:eastAsia="仿宋_GB2312"/>
          <w:b w:val="0"/>
          <w:sz w:val="32"/>
        </w:rPr>
        <w:t>执行绩效目标管理，有效保证了预算规范化执行和管理；二是严格按照工作职责和相关文件依据，确保专款专用。三是严格控制资金的流出方向，确保资金的合规性。发现的问题及原因：一是部分业务人员绩效管理意识有待增强，未能全面深入认识理解绩效管理工作的意义。绩效管理经验不足，预算绩效管理工作有待进一步落实；二是绩效指标的明确性、可衡量性、相关性还需进一步提升。预算绩效管理水平不够，目标约束力不够强，绩效理念树立尚不牢固，项目绩效目标确定后指标值的设置缺乏弹性，项目相关受益群体的满意度指标设置不够科学，自评报告质量有待提高。预算精细化管理还需完善，预算编制管理水平仍有进一步提升的空间。下一步改进措施：一是进一步加强单位内部机构的预算管理意识，严格按照预算编制的相关制度和要求进行预算编制，加强单位财务管理，健全单位财务管理制度体系，规范单位财务行为；二是继续加强《中华人民共和国预算法》及《</w:t>
      </w:r>
      <w:r>
        <w:rPr>
          <w:rFonts w:hint="eastAsia" w:ascii="仿宋_GB2312" w:hAnsi="仿宋_GB2312" w:eastAsia="仿宋_GB2312"/>
          <w:b w:val="0"/>
          <w:sz w:val="32"/>
          <w:lang w:eastAsia="zh-CN"/>
        </w:rPr>
        <w:t>中华人民共和国预算法实施条例</w:t>
      </w:r>
      <w:r>
        <w:rPr>
          <w:rFonts w:ascii="仿宋_GB2312" w:hAnsi="仿宋_GB2312" w:eastAsia="仿宋_GB2312"/>
          <w:b w:val="0"/>
          <w:sz w:val="32"/>
        </w:rPr>
        <w:t>》的宣传、学习贯彻力度。目前我局财政管理中的问题，很多与没有认真学习贯彻《中华人民共和国预算法》有关规定。科学合理编制预算，要做好编制前的调查研究和分析工作，进一步提高预算的准确性和科学性，减少预算编制的随意性</w:t>
      </w:r>
      <w:r>
        <w:rPr>
          <w:rFonts w:hint="eastAsia" w:ascii="仿宋_GB2312" w:hAnsi="仿宋_GB2312" w:eastAsia="仿宋_GB2312"/>
          <w:b w:val="0"/>
          <w:sz w:val="32"/>
          <w:lang w:eastAsia="zh-CN"/>
        </w:rPr>
        <w:t>；要</w:t>
      </w:r>
      <w:r>
        <w:rPr>
          <w:rFonts w:ascii="仿宋_GB2312" w:hAnsi="仿宋_GB2312" w:eastAsia="仿宋_GB2312"/>
          <w:b w:val="0"/>
          <w:sz w:val="32"/>
        </w:rPr>
        <w:t>加强资金使用情况的分析和总结，加强预算编制科学化、精细化管理，增强预算编制的严肃性和权威性。具体附整体支出绩效自评表，项目支出绩效自评表和评价报告。</w:t>
      </w:r>
    </w:p>
    <w:p w14:paraId="728DC0F5">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4D7766C">
        <w:tc>
          <w:tcPr>
            <w:tcW w:w="8847" w:type="dxa"/>
            <w:gridSpan w:val="9"/>
            <w:vAlign w:val="center"/>
          </w:tcPr>
          <w:p w14:paraId="4CF1B260">
            <w:pPr>
              <w:jc w:val="center"/>
            </w:pPr>
            <w:r>
              <w:rPr>
                <w:rFonts w:ascii="宋体" w:hAnsi="宋体" w:eastAsia="宋体"/>
                <w:sz w:val="24"/>
              </w:rPr>
              <w:t>单位整体支出绩效自评表</w:t>
            </w:r>
          </w:p>
        </w:tc>
      </w:tr>
      <w:tr w14:paraId="7613BA47">
        <w:tblPrEx>
          <w:tblCellMar>
            <w:top w:w="0" w:type="dxa"/>
            <w:left w:w="108" w:type="dxa"/>
            <w:bottom w:w="0" w:type="dxa"/>
            <w:right w:w="108" w:type="dxa"/>
          </w:tblCellMar>
        </w:tblPrEx>
        <w:tc>
          <w:tcPr>
            <w:tcW w:w="8847" w:type="dxa"/>
            <w:gridSpan w:val="9"/>
            <w:vAlign w:val="center"/>
          </w:tcPr>
          <w:p w14:paraId="2722AC67">
            <w:pPr>
              <w:jc w:val="center"/>
            </w:pPr>
            <w:r>
              <w:rPr>
                <w:rFonts w:ascii="宋体" w:hAnsi="宋体" w:eastAsia="宋体"/>
                <w:sz w:val="24"/>
              </w:rPr>
              <w:t>（2024年度）</w:t>
            </w:r>
          </w:p>
        </w:tc>
      </w:tr>
      <w:tr w14:paraId="389E818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69FB85">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510F92E">
            <w:pPr>
              <w:jc w:val="center"/>
            </w:pPr>
            <w:r>
              <w:rPr>
                <w:rFonts w:ascii="宋体" w:hAnsi="宋体" w:eastAsia="宋体"/>
                <w:sz w:val="16"/>
              </w:rPr>
              <w:t>昌吉州生态环境局昌吉市分局</w:t>
            </w:r>
          </w:p>
        </w:tc>
      </w:tr>
      <w:tr w14:paraId="69A75C0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107460">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73A400">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BD775C">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C47840">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425E12">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182564">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482A4F">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EA97B3">
            <w:pPr>
              <w:jc w:val="center"/>
            </w:pPr>
            <w:r>
              <w:rPr>
                <w:rFonts w:ascii="宋体" w:hAnsi="宋体" w:eastAsia="宋体"/>
                <w:sz w:val="16"/>
              </w:rPr>
              <w:t>得分</w:t>
            </w:r>
          </w:p>
        </w:tc>
      </w:tr>
      <w:tr w14:paraId="1DC4773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97289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6AE476">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DC7D9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00CFE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D1DD8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E8F2A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FEE81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0DD213">
            <w:pPr>
              <w:jc w:val="center"/>
            </w:pPr>
            <w:r>
              <w:rPr>
                <w:rFonts w:ascii="宋体" w:hAnsi="宋体" w:eastAsia="宋体"/>
                <w:sz w:val="16"/>
              </w:rPr>
              <w:t>-</w:t>
            </w:r>
          </w:p>
        </w:tc>
      </w:tr>
      <w:tr w14:paraId="14569BE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8C94C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CB0547">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202FB0">
            <w:pPr>
              <w:jc w:val="center"/>
            </w:pPr>
            <w:r>
              <w:rPr>
                <w:rFonts w:ascii="宋体" w:hAnsi="宋体" w:eastAsia="宋体"/>
                <w:sz w:val="16"/>
              </w:rPr>
              <w:t>221.32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22AC94">
            <w:pPr>
              <w:jc w:val="center"/>
            </w:pPr>
            <w:r>
              <w:rPr>
                <w:rFonts w:ascii="宋体" w:hAnsi="宋体" w:eastAsia="宋体"/>
                <w:sz w:val="16"/>
              </w:rPr>
              <w:t>1,454.20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270DE2">
            <w:pPr>
              <w:jc w:val="center"/>
            </w:pPr>
            <w:r>
              <w:rPr>
                <w:rFonts w:ascii="宋体" w:hAnsi="宋体" w:eastAsia="宋体"/>
                <w:sz w:val="16"/>
              </w:rPr>
              <w:t>1,454.17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F2D5B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29149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AB0488">
            <w:pPr>
              <w:jc w:val="center"/>
            </w:pPr>
            <w:r>
              <w:rPr>
                <w:rFonts w:ascii="宋体" w:hAnsi="宋体" w:eastAsia="宋体"/>
                <w:sz w:val="16"/>
              </w:rPr>
              <w:t>-</w:t>
            </w:r>
          </w:p>
        </w:tc>
      </w:tr>
      <w:tr w14:paraId="7C7248B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226AD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10DB78">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905AF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E89D4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42000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02811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CAB87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2D6591">
            <w:pPr>
              <w:jc w:val="center"/>
            </w:pPr>
            <w:r>
              <w:rPr>
                <w:rFonts w:ascii="宋体" w:hAnsi="宋体" w:eastAsia="宋体"/>
                <w:sz w:val="16"/>
              </w:rPr>
              <w:t>-</w:t>
            </w:r>
          </w:p>
        </w:tc>
      </w:tr>
      <w:tr w14:paraId="28FD3DE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4C41F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817CB5">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4083DD">
            <w:pPr>
              <w:jc w:val="center"/>
            </w:pPr>
            <w:r>
              <w:rPr>
                <w:rFonts w:ascii="宋体" w:hAnsi="宋体" w:eastAsia="宋体"/>
                <w:sz w:val="16"/>
              </w:rPr>
              <w:t>221.32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554E38">
            <w:pPr>
              <w:jc w:val="center"/>
            </w:pPr>
            <w:r>
              <w:rPr>
                <w:rFonts w:ascii="宋体" w:hAnsi="宋体" w:eastAsia="宋体"/>
                <w:sz w:val="16"/>
              </w:rPr>
              <w:t>1,454.20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43104A">
            <w:pPr>
              <w:jc w:val="center"/>
            </w:pPr>
            <w:r>
              <w:rPr>
                <w:rFonts w:ascii="宋体" w:hAnsi="宋体" w:eastAsia="宋体"/>
                <w:sz w:val="16"/>
              </w:rPr>
              <w:t>1,454.17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782B0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1CAE1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2F0116">
            <w:pPr>
              <w:jc w:val="center"/>
            </w:pPr>
            <w:r>
              <w:rPr>
                <w:rFonts w:ascii="宋体" w:hAnsi="宋体" w:eastAsia="宋体"/>
                <w:sz w:val="16"/>
              </w:rPr>
              <w:t>10</w:t>
            </w:r>
          </w:p>
        </w:tc>
      </w:tr>
      <w:tr w14:paraId="1594BD4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20C984">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4EA7995">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1010498">
            <w:pPr>
              <w:jc w:val="center"/>
            </w:pPr>
            <w:r>
              <w:rPr>
                <w:rFonts w:ascii="宋体" w:hAnsi="宋体" w:eastAsia="宋体"/>
                <w:sz w:val="16"/>
              </w:rPr>
              <w:t>实际完成情况</w:t>
            </w:r>
          </w:p>
        </w:tc>
      </w:tr>
      <w:tr w14:paraId="2EFA86D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51EC1F"/>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77E2E04">
            <w:pPr>
              <w:jc w:val="both"/>
            </w:pPr>
            <w:r>
              <w:rPr>
                <w:rFonts w:ascii="宋体" w:hAnsi="宋体" w:eastAsia="宋体"/>
                <w:sz w:val="16"/>
              </w:rPr>
              <w:t>为环境管理服务，开拓环境监测工作新局面，确保环境监测在环境管理中的技术支持和监督服务作用。同时按照《2024年昌吉州生态环境监测技术方案》要求，着重抓好监测站能力建设，强化环境监测管理，提高环境监测质量</w:t>
            </w:r>
            <w:r>
              <w:rPr>
                <w:rFonts w:hint="eastAsia" w:ascii="宋体" w:hAnsi="宋体"/>
                <w:sz w:val="16"/>
                <w:lang w:eastAsia="zh-CN"/>
              </w:rPr>
              <w:t>。</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0390E3B">
            <w:pPr>
              <w:jc w:val="both"/>
            </w:pPr>
            <w:r>
              <w:rPr>
                <w:rFonts w:ascii="宋体" w:hAnsi="宋体" w:eastAsia="宋体"/>
                <w:sz w:val="16"/>
              </w:rPr>
              <w:t>2024 年</w:t>
            </w:r>
            <w:r>
              <w:rPr>
                <w:rFonts w:hint="eastAsia" w:ascii="宋体" w:hAnsi="宋体"/>
                <w:sz w:val="16"/>
                <w:lang w:eastAsia="zh-CN"/>
              </w:rPr>
              <w:t>本单位</w:t>
            </w:r>
            <w:r>
              <w:rPr>
                <w:rFonts w:ascii="宋体" w:hAnsi="宋体" w:eastAsia="宋体"/>
                <w:sz w:val="16"/>
              </w:rPr>
              <w:t>全年预算数为1,454.20万元，全年执行数为1,454.17万元，总预算执行率为100.00%。2024 年</w:t>
            </w:r>
            <w:r>
              <w:rPr>
                <w:rFonts w:hint="eastAsia" w:ascii="宋体" w:hAnsi="宋体"/>
                <w:sz w:val="16"/>
                <w:lang w:eastAsia="zh-CN"/>
              </w:rPr>
              <w:t>本单位</w:t>
            </w:r>
            <w:r>
              <w:rPr>
                <w:rFonts w:ascii="宋体" w:hAnsi="宋体" w:eastAsia="宋体"/>
                <w:sz w:val="16"/>
              </w:rPr>
              <w:t>完成以下工作内容：空气环境质量监测完成率、城市环境噪声监测完成率、地表水、地下水监测达标率、农村生活污水处理设施出水水质监测完成率、农田灌溉水质监测完成率、农村环境质量监测完成率均达到100%。通过以上工作的实施，为环境管理服务，开拓环境监测工作新局面，确保环境监测在环境管理中的技术支持和监督服务作用。同时按照《2024年昌吉州生态环境监测技术方案》要求，着重抓好监测站能力建设，强化环境监测管理，提高环境监测质量</w:t>
            </w:r>
            <w:r>
              <w:rPr>
                <w:rFonts w:hint="eastAsia" w:ascii="宋体" w:hAnsi="宋体"/>
                <w:sz w:val="16"/>
                <w:lang w:eastAsia="zh-CN"/>
              </w:rPr>
              <w:t>。</w:t>
            </w:r>
          </w:p>
        </w:tc>
      </w:tr>
      <w:tr w14:paraId="4776589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2B567F">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3ECB09">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B6E507">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EF8636">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5EB06F">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B05A3B">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FA1B8E">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EB4537">
            <w:pPr>
              <w:jc w:val="center"/>
            </w:pPr>
            <w:r>
              <w:rPr>
                <w:rFonts w:ascii="宋体" w:hAnsi="宋体" w:eastAsia="宋体"/>
                <w:sz w:val="16"/>
              </w:rPr>
              <w:t>得分</w:t>
            </w:r>
          </w:p>
        </w:tc>
      </w:tr>
      <w:tr w14:paraId="5632ABA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E134BB">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292D85">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C223DA">
            <w:pPr>
              <w:jc w:val="center"/>
            </w:pPr>
            <w:r>
              <w:rPr>
                <w:rFonts w:ascii="宋体" w:hAnsi="宋体" w:eastAsia="宋体"/>
                <w:sz w:val="16"/>
              </w:rPr>
              <w:t>空气环境质量监测完成率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7DB922">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588829">
            <w:pPr>
              <w:jc w:val="center"/>
            </w:pPr>
            <w:r>
              <w:rPr>
                <w:rFonts w:ascii="宋体" w:hAnsi="宋体" w:eastAsia="宋体"/>
                <w:sz w:val="16"/>
              </w:rPr>
              <w:t>2024年昌吉州生态环境监测技术方案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EEA8CB">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2638A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2173BC">
            <w:pPr>
              <w:jc w:val="center"/>
            </w:pPr>
            <w:r>
              <w:rPr>
                <w:rFonts w:ascii="宋体" w:hAnsi="宋体" w:eastAsia="宋体"/>
                <w:sz w:val="16"/>
              </w:rPr>
              <w:t>15</w:t>
            </w:r>
          </w:p>
        </w:tc>
      </w:tr>
      <w:tr w14:paraId="6E18D3A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1957B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96492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CC98AE">
            <w:pPr>
              <w:jc w:val="center"/>
            </w:pPr>
            <w:r>
              <w:rPr>
                <w:rFonts w:ascii="宋体" w:hAnsi="宋体" w:eastAsia="宋体"/>
                <w:sz w:val="16"/>
              </w:rPr>
              <w:t>城市环境噪声监测完成率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60547C">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115285">
            <w:pPr>
              <w:jc w:val="center"/>
            </w:pPr>
            <w:r>
              <w:rPr>
                <w:rFonts w:ascii="宋体" w:hAnsi="宋体" w:eastAsia="宋体"/>
                <w:sz w:val="16"/>
              </w:rPr>
              <w:t>2024年昌吉州生态环境监测技术方案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C99B9B">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95916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989613">
            <w:pPr>
              <w:jc w:val="center"/>
            </w:pPr>
            <w:r>
              <w:rPr>
                <w:rFonts w:ascii="宋体" w:hAnsi="宋体" w:eastAsia="宋体"/>
                <w:sz w:val="16"/>
              </w:rPr>
              <w:t>15</w:t>
            </w:r>
          </w:p>
        </w:tc>
      </w:tr>
      <w:tr w14:paraId="1DA1844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0571C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9FEC4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185D09">
            <w:pPr>
              <w:jc w:val="center"/>
            </w:pPr>
            <w:r>
              <w:rPr>
                <w:rFonts w:ascii="宋体" w:hAnsi="宋体" w:eastAsia="宋体"/>
                <w:sz w:val="16"/>
              </w:rPr>
              <w:t>地表水、地下水监测达标率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80696F">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70F100">
            <w:pPr>
              <w:jc w:val="center"/>
            </w:pPr>
            <w:r>
              <w:rPr>
                <w:rFonts w:ascii="宋体" w:hAnsi="宋体" w:eastAsia="宋体"/>
                <w:sz w:val="16"/>
              </w:rPr>
              <w:t>2024年昌吉州生态环境监测技术方案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8B191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F8912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C6597E">
            <w:pPr>
              <w:jc w:val="center"/>
            </w:pPr>
            <w:r>
              <w:rPr>
                <w:rFonts w:ascii="宋体" w:hAnsi="宋体" w:eastAsia="宋体"/>
                <w:sz w:val="16"/>
              </w:rPr>
              <w:t>15</w:t>
            </w:r>
          </w:p>
        </w:tc>
      </w:tr>
      <w:tr w14:paraId="6D7FE7E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2839D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6E1EB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96FE37">
            <w:pPr>
              <w:jc w:val="center"/>
            </w:pPr>
            <w:r>
              <w:rPr>
                <w:rFonts w:ascii="宋体" w:hAnsi="宋体" w:eastAsia="宋体"/>
                <w:sz w:val="16"/>
              </w:rPr>
              <w:t>农村生活污水处理设施出水水质监测完成率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871AEB">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BD3BEC">
            <w:pPr>
              <w:jc w:val="center"/>
            </w:pPr>
            <w:r>
              <w:rPr>
                <w:rFonts w:ascii="宋体" w:hAnsi="宋体" w:eastAsia="宋体"/>
                <w:sz w:val="16"/>
              </w:rPr>
              <w:t>2024年昌吉州生态环境监测技术方案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8BF7D8">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F2CC4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7559E4">
            <w:pPr>
              <w:jc w:val="center"/>
            </w:pPr>
            <w:r>
              <w:rPr>
                <w:rFonts w:ascii="宋体" w:hAnsi="宋体" w:eastAsia="宋体"/>
                <w:sz w:val="16"/>
              </w:rPr>
              <w:t>15</w:t>
            </w:r>
          </w:p>
        </w:tc>
      </w:tr>
      <w:tr w14:paraId="3D169CF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A51CE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D94BA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B04786">
            <w:pPr>
              <w:jc w:val="center"/>
            </w:pPr>
            <w:r>
              <w:rPr>
                <w:rFonts w:ascii="宋体" w:hAnsi="宋体" w:eastAsia="宋体"/>
                <w:sz w:val="16"/>
              </w:rPr>
              <w:t>农田灌溉水质监测完成率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6CF4E1">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3B81B1">
            <w:pPr>
              <w:jc w:val="center"/>
            </w:pPr>
            <w:r>
              <w:rPr>
                <w:rFonts w:ascii="宋体" w:hAnsi="宋体" w:eastAsia="宋体"/>
                <w:sz w:val="16"/>
              </w:rPr>
              <w:t>2024年昌吉州生态环境监测技术方案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F0BA99">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7BB9B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8494B2">
            <w:pPr>
              <w:jc w:val="center"/>
            </w:pPr>
            <w:r>
              <w:rPr>
                <w:rFonts w:ascii="宋体" w:hAnsi="宋体" w:eastAsia="宋体"/>
                <w:sz w:val="16"/>
              </w:rPr>
              <w:t>15</w:t>
            </w:r>
          </w:p>
        </w:tc>
      </w:tr>
      <w:tr w14:paraId="2B8A185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C7D07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707DB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8543D7">
            <w:pPr>
              <w:jc w:val="center"/>
            </w:pPr>
            <w:r>
              <w:rPr>
                <w:rFonts w:ascii="宋体" w:hAnsi="宋体" w:eastAsia="宋体"/>
                <w:sz w:val="16"/>
              </w:rPr>
              <w:t>农村环境质量监测完成率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A373AD">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D6838F">
            <w:pPr>
              <w:jc w:val="center"/>
            </w:pPr>
            <w:r>
              <w:rPr>
                <w:rFonts w:ascii="宋体" w:hAnsi="宋体" w:eastAsia="宋体"/>
                <w:sz w:val="16"/>
              </w:rPr>
              <w:t>2024年昌吉州生态环境监测技术方案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96C49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D29F6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E90FB2">
            <w:pPr>
              <w:jc w:val="center"/>
            </w:pPr>
            <w:r>
              <w:rPr>
                <w:rFonts w:ascii="宋体" w:hAnsi="宋体" w:eastAsia="宋体"/>
                <w:sz w:val="16"/>
              </w:rPr>
              <w:t>15</w:t>
            </w:r>
          </w:p>
        </w:tc>
      </w:tr>
    </w:tbl>
    <w:p w14:paraId="09C12D2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5B160D8F">
        <w:tblPrEx>
          <w:tblCellMar>
            <w:top w:w="0" w:type="dxa"/>
            <w:left w:w="108" w:type="dxa"/>
            <w:bottom w:w="0" w:type="dxa"/>
            <w:right w:w="108" w:type="dxa"/>
          </w:tblCellMar>
        </w:tblPrEx>
        <w:tc>
          <w:tcPr>
            <w:tcW w:w="8848" w:type="dxa"/>
            <w:gridSpan w:val="14"/>
            <w:vAlign w:val="center"/>
          </w:tcPr>
          <w:p w14:paraId="093B86D8">
            <w:pPr>
              <w:jc w:val="center"/>
            </w:pPr>
            <w:r>
              <w:rPr>
                <w:rFonts w:ascii="宋体" w:hAnsi="宋体" w:eastAsia="宋体"/>
                <w:sz w:val="24"/>
              </w:rPr>
              <w:t>项目支出绩效自评表</w:t>
            </w:r>
          </w:p>
        </w:tc>
      </w:tr>
      <w:tr w14:paraId="3030E22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E3CFC01">
            <w:pPr>
              <w:jc w:val="center"/>
            </w:pPr>
            <w:r>
              <w:rPr>
                <w:rFonts w:ascii="宋体" w:hAnsi="宋体" w:eastAsia="宋体"/>
                <w:sz w:val="24"/>
              </w:rPr>
              <w:t>(2024年度)</w:t>
            </w:r>
          </w:p>
        </w:tc>
      </w:tr>
      <w:tr w14:paraId="17119C2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9731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C5A99D4">
            <w:pPr>
              <w:jc w:val="center"/>
            </w:pPr>
            <w:r>
              <w:rPr>
                <w:rFonts w:ascii="宋体" w:hAnsi="宋体" w:eastAsia="宋体"/>
                <w:sz w:val="16"/>
              </w:rPr>
              <w:t>环境监测运转经费</w:t>
            </w:r>
          </w:p>
        </w:tc>
      </w:tr>
      <w:tr w14:paraId="2E10757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3142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CBB1F0">
            <w:pPr>
              <w:jc w:val="center"/>
            </w:pPr>
            <w:r>
              <w:rPr>
                <w:rFonts w:ascii="宋体" w:hAnsi="宋体" w:eastAsia="宋体"/>
                <w:sz w:val="16"/>
              </w:rPr>
              <w:t>昌吉州生态环境局昌吉市分局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38CF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6B97DA5">
            <w:pPr>
              <w:jc w:val="center"/>
            </w:pPr>
            <w:r>
              <w:rPr>
                <w:rFonts w:ascii="宋体" w:hAnsi="宋体" w:eastAsia="宋体"/>
                <w:sz w:val="16"/>
              </w:rPr>
              <w:t>昌吉州生态环境局昌吉市分局</w:t>
            </w:r>
          </w:p>
        </w:tc>
      </w:tr>
      <w:tr w14:paraId="113EAB1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6D245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42D07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C1428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C9ACA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11EBD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0F66F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677B6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78F29">
            <w:pPr>
              <w:jc w:val="center"/>
            </w:pPr>
            <w:r>
              <w:rPr>
                <w:rFonts w:ascii="宋体" w:hAnsi="宋体" w:eastAsia="宋体"/>
                <w:sz w:val="16"/>
              </w:rPr>
              <w:t>得分</w:t>
            </w:r>
          </w:p>
        </w:tc>
      </w:tr>
      <w:tr w14:paraId="60DD7A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83AFF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05EAE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E334F1">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C873D7">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5886B0">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5060A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264AA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F0F49">
            <w:pPr>
              <w:jc w:val="center"/>
            </w:pPr>
            <w:r>
              <w:rPr>
                <w:rFonts w:ascii="宋体" w:hAnsi="宋体" w:eastAsia="宋体"/>
                <w:sz w:val="16"/>
              </w:rPr>
              <w:t>10.00</w:t>
            </w:r>
          </w:p>
        </w:tc>
      </w:tr>
      <w:tr w14:paraId="71529E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797E9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CFCBB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609D2F">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D9312B">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BFE548">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96674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D5AC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B5547">
            <w:pPr>
              <w:jc w:val="center"/>
            </w:pPr>
            <w:r>
              <w:rPr>
                <w:rFonts w:ascii="宋体" w:hAnsi="宋体" w:eastAsia="宋体"/>
                <w:sz w:val="16"/>
              </w:rPr>
              <w:t>—</w:t>
            </w:r>
          </w:p>
        </w:tc>
      </w:tr>
      <w:tr w14:paraId="10E2F7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447AE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CAC0B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0958D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593DD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E56B2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2AA15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26EE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BEC02">
            <w:pPr>
              <w:jc w:val="center"/>
            </w:pPr>
            <w:r>
              <w:rPr>
                <w:rFonts w:ascii="宋体" w:hAnsi="宋体" w:eastAsia="宋体"/>
                <w:sz w:val="16"/>
              </w:rPr>
              <w:t>—</w:t>
            </w:r>
          </w:p>
        </w:tc>
      </w:tr>
      <w:tr w14:paraId="0DD4DF3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DD52D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FBA51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F0DC288">
            <w:pPr>
              <w:jc w:val="center"/>
            </w:pPr>
            <w:r>
              <w:rPr>
                <w:rFonts w:ascii="宋体" w:hAnsi="宋体" w:eastAsia="宋体"/>
                <w:sz w:val="16"/>
              </w:rPr>
              <w:t>实际完成情况</w:t>
            </w:r>
          </w:p>
        </w:tc>
      </w:tr>
      <w:tr w14:paraId="6E5EA1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EE0D0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14D5EB">
            <w:pPr>
              <w:jc w:val="both"/>
            </w:pPr>
            <w:r>
              <w:rPr>
                <w:rFonts w:ascii="宋体" w:hAnsi="宋体" w:eastAsia="宋体"/>
                <w:sz w:val="16"/>
              </w:rPr>
              <w:t>进一步提升昌吉市生态环境监测站的监测能力水平，为昌吉市辖区内环境质量、污染源监测提供准确可靠的数据。从而按照要求达到承担辖区范围内执法监测和生态环境应急监测任务的目的。</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14DB4ED">
            <w:pPr>
              <w:jc w:val="both"/>
            </w:pPr>
            <w:r>
              <w:rPr>
                <w:rFonts w:ascii="宋体" w:hAnsi="宋体" w:eastAsia="宋体"/>
                <w:sz w:val="16"/>
              </w:rPr>
              <w:t>截至2024年12月31日，该项目实际完成100%通过该项目的实施，开展生态环境监测、掌握水、气、声、土壤环境质量状况变化趋势，为环境决策提供数据支撑有效提高，有效改善区域内生态环境质量。购置实验耗材（试剂、器皿、设备）仪器维修维护检定、危废处理1批；执法监测、应急监测、生态监测1次；大气网格化监管、巡查、处置1次；土壤、生态、水质采样及噪声监测1次；监测完成时间2024年12月9日；监测设备验收合格率100%；实验耗材采购成本3万元；监测运行成本4万元；成本控制率100%。</w:t>
            </w:r>
          </w:p>
        </w:tc>
      </w:tr>
      <w:tr w14:paraId="4097BEF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C2115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359A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43BE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9937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BA72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A051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0D63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61C8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722F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FFFB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1603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40F7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DA20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6CCC5">
            <w:pPr>
              <w:jc w:val="center"/>
            </w:pPr>
            <w:r>
              <w:rPr>
                <w:rFonts w:ascii="宋体" w:hAnsi="宋体" w:eastAsia="宋体"/>
                <w:sz w:val="16"/>
              </w:rPr>
              <w:t>偏差原因分析及改进措施</w:t>
            </w:r>
          </w:p>
        </w:tc>
      </w:tr>
      <w:tr w14:paraId="7403472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20EA3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7EC70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87B04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35AE1">
            <w:pPr>
              <w:jc w:val="center"/>
            </w:pPr>
            <w:r>
              <w:rPr>
                <w:rFonts w:ascii="宋体" w:hAnsi="宋体" w:eastAsia="宋体"/>
                <w:sz w:val="16"/>
              </w:rPr>
              <w:t>购置实验耗材（试剂、器皿、设备）仪器维修维护检定、危废处理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BD9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4919E">
            <w:pPr>
              <w:jc w:val="center"/>
            </w:pPr>
            <w:r>
              <w:rPr>
                <w:rFonts w:ascii="宋体" w:hAnsi="宋体" w:eastAsia="宋体"/>
                <w:sz w:val="16"/>
              </w:rPr>
              <w:t>&gt;=1批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45376">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6C3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BD8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753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BC1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685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D52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6B851">
            <w:pPr>
              <w:jc w:val="center"/>
            </w:pPr>
          </w:p>
        </w:tc>
      </w:tr>
      <w:tr w14:paraId="78CAEC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D740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9096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7322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CEF10">
            <w:pPr>
              <w:jc w:val="center"/>
            </w:pPr>
            <w:r>
              <w:rPr>
                <w:rFonts w:ascii="宋体" w:hAnsi="宋体" w:eastAsia="宋体"/>
                <w:sz w:val="16"/>
              </w:rPr>
              <w:t>执法监测、应急监测、生态监测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D19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83273">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35C7E">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2FC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723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9F3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BF3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721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B312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537D8">
            <w:pPr>
              <w:jc w:val="center"/>
            </w:pPr>
          </w:p>
        </w:tc>
      </w:tr>
      <w:tr w14:paraId="4AF541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0167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6144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7BA5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C09F7">
            <w:pPr>
              <w:jc w:val="center"/>
            </w:pPr>
            <w:r>
              <w:rPr>
                <w:rFonts w:ascii="宋体" w:hAnsi="宋体" w:eastAsia="宋体"/>
                <w:sz w:val="16"/>
              </w:rPr>
              <w:t>大气网格化监管、巡查、处置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BF0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E4720">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6CF13">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B60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FFA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FE85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3398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382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75E6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E1C55">
            <w:pPr>
              <w:jc w:val="center"/>
            </w:pPr>
          </w:p>
        </w:tc>
      </w:tr>
      <w:tr w14:paraId="4899F9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4345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4656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38D6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662CC">
            <w:pPr>
              <w:jc w:val="center"/>
            </w:pPr>
            <w:r>
              <w:rPr>
                <w:rFonts w:ascii="宋体" w:hAnsi="宋体" w:eastAsia="宋体"/>
                <w:sz w:val="16"/>
              </w:rPr>
              <w:t>土壤、生态、水质采样及噪声监测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E8C0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D3B4B">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0C332">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EF2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6F92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8C8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AFA0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E54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9DEA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91E97">
            <w:pPr>
              <w:jc w:val="center"/>
            </w:pPr>
          </w:p>
        </w:tc>
      </w:tr>
      <w:tr w14:paraId="3B17F4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018A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1F460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EC55A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234DD">
            <w:pPr>
              <w:jc w:val="center"/>
            </w:pPr>
            <w:r>
              <w:rPr>
                <w:rFonts w:ascii="宋体" w:hAnsi="宋体" w:eastAsia="宋体"/>
                <w:sz w:val="16"/>
              </w:rPr>
              <w:t>监测计划完成时间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BCED9">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BDCA2">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D2CD7">
            <w:pPr>
              <w:jc w:val="center"/>
            </w:pPr>
            <w:r>
              <w:rPr>
                <w:rFonts w:ascii="宋体" w:hAnsi="宋体" w:eastAsia="宋体"/>
                <w:sz w:val="16"/>
              </w:rPr>
              <w:t>2024年12月9日</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73B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429E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F3B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91A4A">
            <w:pPr>
              <w:jc w:val="center"/>
            </w:pPr>
            <w:r>
              <w:rPr>
                <w:rFonts w:ascii="宋体" w:hAnsi="宋体" w:eastAsia="宋体"/>
                <w:sz w:val="16"/>
              </w:rPr>
              <w:t>2023年12月15日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A26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993E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855F0">
            <w:pPr>
              <w:jc w:val="center"/>
            </w:pPr>
          </w:p>
        </w:tc>
      </w:tr>
      <w:tr w14:paraId="2ADF0F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3B6A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434C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B253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C7FE4">
            <w:pPr>
              <w:jc w:val="center"/>
            </w:pPr>
            <w:r>
              <w:rPr>
                <w:rFonts w:ascii="宋体" w:hAnsi="宋体" w:eastAsia="宋体"/>
                <w:sz w:val="16"/>
              </w:rPr>
              <w:t>监测设备验收合格率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C8024">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F87C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09E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670EE">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8029F">
            <w:pPr>
              <w:jc w:val="center"/>
            </w:pPr>
            <w:r>
              <w:rPr>
                <w:rFonts w:ascii="宋体" w:hAnsi="宋体" w:eastAsia="宋体"/>
                <w:sz w:val="16"/>
              </w:rPr>
              <w:t>1.78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333F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8AEC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288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50DF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2847A">
            <w:pPr>
              <w:jc w:val="center"/>
            </w:pPr>
          </w:p>
        </w:tc>
      </w:tr>
      <w:tr w14:paraId="5FCEF7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A41E4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F9BCC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99D31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ED669">
            <w:pPr>
              <w:jc w:val="center"/>
            </w:pPr>
            <w:r>
              <w:rPr>
                <w:rFonts w:ascii="宋体" w:hAnsi="宋体" w:eastAsia="宋体"/>
                <w:sz w:val="16"/>
              </w:rPr>
              <w:t>实验耗材采购成本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23DC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CDD25">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E8459">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D81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4DD8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338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6892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EE3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6547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2412A">
            <w:pPr>
              <w:jc w:val="center"/>
            </w:pPr>
          </w:p>
        </w:tc>
      </w:tr>
      <w:tr w14:paraId="7E11F3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D35D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E70E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7488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DF44C">
            <w:pPr>
              <w:jc w:val="center"/>
            </w:pPr>
            <w:r>
              <w:rPr>
                <w:rFonts w:ascii="宋体" w:hAnsi="宋体" w:eastAsia="宋体"/>
                <w:sz w:val="16"/>
              </w:rPr>
              <w:t>监测运行成本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534F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A3922">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D1CA0">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6BE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FB74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3FC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02B0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070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91F4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275B5">
            <w:pPr>
              <w:jc w:val="center"/>
            </w:pPr>
          </w:p>
        </w:tc>
      </w:tr>
      <w:tr w14:paraId="6CD42D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5518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4438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3BD7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781A9">
            <w:pPr>
              <w:jc w:val="center"/>
            </w:pPr>
            <w:r>
              <w:rPr>
                <w:rFonts w:ascii="宋体" w:hAnsi="宋体" w:eastAsia="宋体"/>
                <w:sz w:val="16"/>
              </w:rPr>
              <w:t>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71C2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2A1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2CE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8C8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3F07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013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E178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BFF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46C7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87DF2">
            <w:pPr>
              <w:jc w:val="center"/>
            </w:pPr>
          </w:p>
        </w:tc>
      </w:tr>
      <w:tr w14:paraId="365AFA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C4F33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D480B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2B78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927B2">
            <w:pPr>
              <w:jc w:val="center"/>
            </w:pPr>
            <w:r>
              <w:rPr>
                <w:rFonts w:ascii="宋体" w:hAnsi="宋体" w:eastAsia="宋体"/>
                <w:sz w:val="16"/>
              </w:rPr>
              <w:t>开展生态环境监测、掌握水、气、声、土壤环境质量状况变化趋势、为环境决策提供数据支撑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2326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74890">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0F7E9">
            <w:pPr>
              <w:jc w:val="center"/>
            </w:pPr>
            <w:r>
              <w:rPr>
                <w:rFonts w:ascii="宋体" w:hAnsi="宋体" w:eastAsia="宋体"/>
                <w:sz w:val="16"/>
              </w:rPr>
              <w:t>达成预期目标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BAA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433A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617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3344C">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276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CA7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A40F5">
            <w:pPr>
              <w:jc w:val="center"/>
            </w:pPr>
          </w:p>
        </w:tc>
      </w:tr>
      <w:tr w14:paraId="54C6D8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F366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973D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43898">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0AED0">
            <w:pPr>
              <w:jc w:val="center"/>
            </w:pPr>
            <w:r>
              <w:rPr>
                <w:rFonts w:ascii="宋体" w:hAnsi="宋体" w:eastAsia="宋体"/>
                <w:sz w:val="16"/>
              </w:rPr>
              <w:t>有效改善区域内生态环境质量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A41D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89CCA">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4DD2C">
            <w:pPr>
              <w:jc w:val="center"/>
            </w:pPr>
            <w:r>
              <w:rPr>
                <w:rFonts w:ascii="宋体" w:hAnsi="宋体" w:eastAsia="宋体"/>
                <w:sz w:val="16"/>
              </w:rPr>
              <w:t>达成预期目标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E5A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9C4E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1FC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4C49B">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698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8003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F7192">
            <w:pPr>
              <w:jc w:val="center"/>
            </w:pPr>
          </w:p>
        </w:tc>
      </w:tr>
      <w:tr w14:paraId="04C29EE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99D43C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C6B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3840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D73A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0FF7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038EB">
            <w:pPr>
              <w:jc w:val="center"/>
            </w:pPr>
            <w:r>
              <w:rPr>
                <w:rFonts w:ascii="宋体" w:hAnsi="宋体" w:eastAsia="宋体"/>
                <w:sz w:val="16"/>
              </w:rPr>
              <w:t>99.78分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6137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32E28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B812D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45D7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3518F0"/>
        </w:tc>
      </w:tr>
    </w:tbl>
    <w:p w14:paraId="674BEA8D">
      <w:r>
        <w:br w:type="page"/>
      </w:r>
    </w:p>
    <w:p w14:paraId="7EDAF45F">
      <w:pPr>
        <w:spacing w:line="640" w:lineRule="exact"/>
        <w:ind w:firstLine="640"/>
        <w:jc w:val="both"/>
        <w:outlineLvl w:val="2"/>
      </w:pPr>
      <w:r>
        <w:rPr>
          <w:rFonts w:ascii="黑体" w:hAnsi="黑体" w:eastAsia="黑体"/>
          <w:sz w:val="32"/>
        </w:rPr>
        <w:t>十二、其他需说明的事项</w:t>
      </w:r>
    </w:p>
    <w:p w14:paraId="535EA5A0">
      <w:pPr>
        <w:spacing w:line="580" w:lineRule="exact"/>
        <w:ind w:firstLine="640"/>
        <w:jc w:val="both"/>
      </w:pPr>
      <w:r>
        <w:rPr>
          <w:rFonts w:ascii="仿宋_GB2312" w:hAnsi="仿宋_GB2312" w:eastAsia="仿宋_GB2312"/>
          <w:b w:val="0"/>
          <w:sz w:val="32"/>
        </w:rPr>
        <w:t>本单位无其他需说明的事项。</w:t>
      </w:r>
    </w:p>
    <w:p w14:paraId="719782A2">
      <w:r>
        <w:br w:type="page"/>
      </w:r>
    </w:p>
    <w:p w14:paraId="0B1E70F0">
      <w:pPr>
        <w:spacing w:line="240" w:lineRule="auto"/>
        <w:jc w:val="center"/>
        <w:outlineLvl w:val="1"/>
      </w:pPr>
      <w:r>
        <w:rPr>
          <w:rFonts w:ascii="黑体" w:hAnsi="黑体" w:eastAsia="黑体"/>
          <w:sz w:val="32"/>
        </w:rPr>
        <w:t>第三部分 专业名词解释</w:t>
      </w:r>
    </w:p>
    <w:p w14:paraId="2562AEF9">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14A3825">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BFB35B4">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BD10C40">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A8FF5D6">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44A0471">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DB10518">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354A03B">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7C55C95">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1DD3FFA">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B0BED76">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4F8E40E">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5DB45F2">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7A863C3">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76D3B47">
      <w:r>
        <w:br w:type="page"/>
      </w:r>
    </w:p>
    <w:p w14:paraId="79E2060D">
      <w:pPr>
        <w:spacing w:line="240" w:lineRule="auto"/>
        <w:jc w:val="center"/>
        <w:outlineLvl w:val="1"/>
      </w:pPr>
      <w:r>
        <w:rPr>
          <w:rFonts w:ascii="黑体" w:hAnsi="黑体" w:eastAsia="黑体"/>
          <w:sz w:val="32"/>
        </w:rPr>
        <w:t>第四部分 部门决算报表（见附表）</w:t>
      </w:r>
    </w:p>
    <w:p w14:paraId="550F9DAB">
      <w:pPr>
        <w:spacing w:line="240" w:lineRule="auto"/>
        <w:ind w:firstLine="640"/>
        <w:jc w:val="both"/>
      </w:pPr>
      <w:r>
        <w:rPr>
          <w:rFonts w:ascii="仿宋_GB2312" w:hAnsi="仿宋_GB2312" w:eastAsia="仿宋_GB2312"/>
          <w:b w:val="0"/>
          <w:sz w:val="32"/>
        </w:rPr>
        <w:t>一、《收入支出决算总表》</w:t>
      </w:r>
    </w:p>
    <w:p w14:paraId="3589FFBE">
      <w:pPr>
        <w:spacing w:line="240" w:lineRule="auto"/>
        <w:ind w:firstLine="640"/>
        <w:jc w:val="both"/>
      </w:pPr>
      <w:r>
        <w:rPr>
          <w:rFonts w:ascii="仿宋_GB2312" w:hAnsi="仿宋_GB2312" w:eastAsia="仿宋_GB2312"/>
          <w:b w:val="0"/>
          <w:sz w:val="32"/>
        </w:rPr>
        <w:t>二、《收入决算表》</w:t>
      </w:r>
    </w:p>
    <w:p w14:paraId="0FCD7EE2">
      <w:pPr>
        <w:spacing w:line="240" w:lineRule="auto"/>
        <w:ind w:firstLine="640"/>
        <w:jc w:val="both"/>
      </w:pPr>
      <w:r>
        <w:rPr>
          <w:rFonts w:ascii="仿宋_GB2312" w:hAnsi="仿宋_GB2312" w:eastAsia="仿宋_GB2312"/>
          <w:b w:val="0"/>
          <w:sz w:val="32"/>
        </w:rPr>
        <w:t>三、《支出决算表》</w:t>
      </w:r>
    </w:p>
    <w:p w14:paraId="4F7F305E">
      <w:pPr>
        <w:spacing w:line="240" w:lineRule="auto"/>
        <w:ind w:firstLine="640"/>
        <w:jc w:val="both"/>
      </w:pPr>
      <w:r>
        <w:rPr>
          <w:rFonts w:ascii="仿宋_GB2312" w:hAnsi="仿宋_GB2312" w:eastAsia="仿宋_GB2312"/>
          <w:b w:val="0"/>
          <w:sz w:val="32"/>
        </w:rPr>
        <w:t>四、《财政拨款收入支出决算总表》</w:t>
      </w:r>
    </w:p>
    <w:p w14:paraId="4B38EA25">
      <w:pPr>
        <w:spacing w:line="240" w:lineRule="auto"/>
        <w:ind w:firstLine="640"/>
        <w:jc w:val="both"/>
      </w:pPr>
      <w:r>
        <w:rPr>
          <w:rFonts w:ascii="仿宋_GB2312" w:hAnsi="仿宋_GB2312" w:eastAsia="仿宋_GB2312"/>
          <w:b w:val="0"/>
          <w:sz w:val="32"/>
        </w:rPr>
        <w:t>五、《一般公共预算财政拨款支出决算表》</w:t>
      </w:r>
    </w:p>
    <w:p w14:paraId="79BE8698">
      <w:pPr>
        <w:spacing w:line="240" w:lineRule="auto"/>
        <w:ind w:firstLine="640"/>
        <w:jc w:val="both"/>
      </w:pPr>
      <w:r>
        <w:rPr>
          <w:rFonts w:ascii="仿宋_GB2312" w:hAnsi="仿宋_GB2312" w:eastAsia="仿宋_GB2312"/>
          <w:b w:val="0"/>
          <w:sz w:val="32"/>
        </w:rPr>
        <w:t>六、《一般公共预算财政拨款基本支出决算表》</w:t>
      </w:r>
    </w:p>
    <w:p w14:paraId="58B6D0A7">
      <w:pPr>
        <w:spacing w:line="240" w:lineRule="auto"/>
        <w:ind w:firstLine="640"/>
        <w:jc w:val="both"/>
      </w:pPr>
      <w:r>
        <w:rPr>
          <w:rFonts w:ascii="仿宋_GB2312" w:hAnsi="仿宋_GB2312" w:eastAsia="仿宋_GB2312"/>
          <w:b w:val="0"/>
          <w:sz w:val="32"/>
        </w:rPr>
        <w:t>七、《政府性基金预算财政拨款收入支出决算表》</w:t>
      </w:r>
    </w:p>
    <w:p w14:paraId="50383A2D">
      <w:pPr>
        <w:spacing w:line="240" w:lineRule="auto"/>
        <w:ind w:firstLine="640"/>
        <w:jc w:val="both"/>
      </w:pPr>
      <w:r>
        <w:rPr>
          <w:rFonts w:ascii="仿宋_GB2312" w:hAnsi="仿宋_GB2312" w:eastAsia="仿宋_GB2312"/>
          <w:b w:val="0"/>
          <w:sz w:val="32"/>
        </w:rPr>
        <w:t>八、《国有资本经营预算财政拨款收入支出决算表》</w:t>
      </w:r>
    </w:p>
    <w:p w14:paraId="1E8B662F">
      <w:pPr>
        <w:spacing w:line="240" w:lineRule="auto"/>
        <w:ind w:firstLine="640"/>
        <w:jc w:val="both"/>
      </w:pPr>
      <w:r>
        <w:rPr>
          <w:rFonts w:ascii="仿宋_GB2312" w:hAnsi="仿宋_GB2312" w:eastAsia="仿宋_GB2312"/>
          <w:b w:val="0"/>
          <w:sz w:val="32"/>
        </w:rPr>
        <w:t>九、《财政拨款“三公”经费支出决算表》</w:t>
      </w:r>
    </w:p>
    <w:p w14:paraId="70BB03FC">
      <w:pPr>
        <w:spacing w:line="240" w:lineRule="auto"/>
        <w:ind w:firstLine="640"/>
        <w:jc w:val="both"/>
      </w:pPr>
    </w:p>
    <w:p w14:paraId="18497391">
      <w:pPr>
        <w:spacing w:line="240" w:lineRule="auto"/>
        <w:ind w:firstLine="640"/>
        <w:jc w:val="both"/>
      </w:pPr>
    </w:p>
    <w:p w14:paraId="7335DB8D">
      <w:pPr>
        <w:spacing w:line="240" w:lineRule="auto"/>
        <w:ind w:firstLine="640"/>
        <w:jc w:val="both"/>
      </w:pPr>
    </w:p>
    <w:p w14:paraId="59AC5958">
      <w:pPr>
        <w:spacing w:line="240" w:lineRule="auto"/>
        <w:ind w:firstLine="640"/>
        <w:jc w:val="both"/>
      </w:pPr>
    </w:p>
    <w:p w14:paraId="55CE4BAC">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CAC43C-4B7F-4356-80FC-21BE32BD6E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FE354F4B-75A3-432D-862F-4342E3898FF9}"/>
  </w:font>
  <w:font w:name="仿宋_GB2312">
    <w:altName w:val="仿宋"/>
    <w:panose1 w:val="02010609030101010101"/>
    <w:charset w:val="86"/>
    <w:family w:val="modern"/>
    <w:pitch w:val="default"/>
    <w:sig w:usb0="00000000" w:usb1="00000000" w:usb2="00000000" w:usb3="00000000" w:csb0="00040000" w:csb1="00000000"/>
    <w:embedRegular r:id="rId3" w:fontKey="{09768D4E-ECFA-4BB5-A370-2799196A58C2}"/>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44C7A86A-4C6F-4354-839C-09211C9BCFB6}"/>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0F46857"/>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B8F4C0B"/>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7036</Words>
  <Characters>8009</Characters>
  <Lines>0</Lines>
  <Paragraphs>0</Paragraphs>
  <TotalTime>2</TotalTime>
  <ScaleCrop>false</ScaleCrop>
  <LinksUpToDate>false</LinksUpToDate>
  <CharactersWithSpaces>8017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2025-10-15T07:37:42Z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