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FA5219"/>
    <w:p w14:paraId="6F2C0AC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7BB9740">
      <w:pPr>
        <w:spacing w:line="540" w:lineRule="exact"/>
        <w:jc w:val="center"/>
        <w:rPr>
          <w:rFonts w:ascii="华文中宋" w:hAnsi="华文中宋" w:eastAsia="华文中宋" w:cs="宋体"/>
          <w:b/>
          <w:kern w:val="0"/>
          <w:sz w:val="52"/>
          <w:szCs w:val="52"/>
        </w:rPr>
      </w:pPr>
    </w:p>
    <w:p w14:paraId="4B72D21F">
      <w:pPr>
        <w:spacing w:line="540" w:lineRule="exact"/>
        <w:jc w:val="center"/>
        <w:rPr>
          <w:rFonts w:ascii="华文中宋" w:hAnsi="华文中宋" w:eastAsia="华文中宋" w:cs="宋体"/>
          <w:b/>
          <w:kern w:val="0"/>
          <w:sz w:val="52"/>
          <w:szCs w:val="52"/>
        </w:rPr>
      </w:pPr>
    </w:p>
    <w:p w14:paraId="013A4F15">
      <w:pPr>
        <w:spacing w:line="540" w:lineRule="exact"/>
        <w:jc w:val="center"/>
        <w:rPr>
          <w:rFonts w:ascii="华文中宋" w:hAnsi="华文中宋" w:eastAsia="华文中宋" w:cs="宋体"/>
          <w:b/>
          <w:kern w:val="0"/>
          <w:sz w:val="52"/>
          <w:szCs w:val="52"/>
        </w:rPr>
      </w:pPr>
    </w:p>
    <w:p w14:paraId="07A643E5">
      <w:pPr>
        <w:spacing w:line="540" w:lineRule="exact"/>
        <w:jc w:val="center"/>
        <w:rPr>
          <w:rFonts w:ascii="华文中宋" w:hAnsi="华文中宋" w:eastAsia="华文中宋" w:cs="宋体"/>
          <w:b/>
          <w:kern w:val="0"/>
          <w:sz w:val="52"/>
          <w:szCs w:val="52"/>
        </w:rPr>
      </w:pPr>
    </w:p>
    <w:p w14:paraId="7014B28B">
      <w:pPr>
        <w:spacing w:line="540" w:lineRule="exact"/>
        <w:jc w:val="center"/>
        <w:rPr>
          <w:rFonts w:ascii="华文中宋" w:hAnsi="华文中宋" w:eastAsia="华文中宋" w:cs="宋体"/>
          <w:b/>
          <w:kern w:val="0"/>
          <w:sz w:val="52"/>
          <w:szCs w:val="52"/>
        </w:rPr>
      </w:pPr>
    </w:p>
    <w:p w14:paraId="1F580030">
      <w:pPr>
        <w:spacing w:line="540" w:lineRule="exact"/>
        <w:jc w:val="center"/>
        <w:rPr>
          <w:rFonts w:ascii="华文中宋" w:hAnsi="华文中宋" w:eastAsia="华文中宋" w:cs="宋体"/>
          <w:b/>
          <w:kern w:val="0"/>
          <w:sz w:val="52"/>
          <w:szCs w:val="52"/>
        </w:rPr>
      </w:pPr>
    </w:p>
    <w:p w14:paraId="1F6794D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C06DB18">
      <w:pPr>
        <w:spacing w:line="540" w:lineRule="exact"/>
        <w:jc w:val="center"/>
        <w:rPr>
          <w:rFonts w:ascii="华文中宋" w:hAnsi="华文中宋" w:eastAsia="华文中宋" w:cs="宋体"/>
          <w:b/>
          <w:kern w:val="0"/>
          <w:sz w:val="52"/>
          <w:szCs w:val="52"/>
        </w:rPr>
      </w:pPr>
    </w:p>
    <w:p w14:paraId="01CEE8DD">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4A7B4260">
      <w:pPr>
        <w:spacing w:line="540" w:lineRule="exact"/>
        <w:jc w:val="center"/>
        <w:rPr>
          <w:rFonts w:hAnsi="宋体" w:eastAsia="仿宋_GB2312" w:cs="宋体"/>
          <w:kern w:val="0"/>
          <w:sz w:val="30"/>
          <w:szCs w:val="30"/>
        </w:rPr>
      </w:pPr>
    </w:p>
    <w:p w14:paraId="7B013AC7">
      <w:pPr>
        <w:spacing w:line="540" w:lineRule="exact"/>
        <w:jc w:val="center"/>
        <w:rPr>
          <w:rFonts w:hAnsi="宋体" w:eastAsia="仿宋_GB2312" w:cs="宋体"/>
          <w:kern w:val="0"/>
          <w:sz w:val="30"/>
          <w:szCs w:val="30"/>
        </w:rPr>
      </w:pPr>
    </w:p>
    <w:p w14:paraId="0E653AD0">
      <w:pPr>
        <w:spacing w:line="540" w:lineRule="exact"/>
        <w:jc w:val="center"/>
        <w:rPr>
          <w:rFonts w:hAnsi="宋体" w:eastAsia="仿宋_GB2312" w:cs="宋体"/>
          <w:kern w:val="0"/>
          <w:sz w:val="30"/>
          <w:szCs w:val="30"/>
        </w:rPr>
      </w:pPr>
    </w:p>
    <w:p w14:paraId="7845016E">
      <w:pPr>
        <w:spacing w:line="540" w:lineRule="exact"/>
        <w:jc w:val="center"/>
        <w:rPr>
          <w:rFonts w:hAnsi="宋体" w:eastAsia="仿宋_GB2312" w:cs="宋体"/>
          <w:kern w:val="0"/>
          <w:sz w:val="30"/>
          <w:szCs w:val="30"/>
        </w:rPr>
      </w:pPr>
    </w:p>
    <w:p w14:paraId="2A3650D3">
      <w:pPr>
        <w:spacing w:line="540" w:lineRule="exact"/>
        <w:jc w:val="center"/>
        <w:rPr>
          <w:rFonts w:hAnsi="宋体" w:eastAsia="仿宋_GB2312" w:cs="宋体"/>
          <w:kern w:val="0"/>
          <w:sz w:val="30"/>
          <w:szCs w:val="30"/>
        </w:rPr>
      </w:pPr>
    </w:p>
    <w:p w14:paraId="1999243A">
      <w:pPr>
        <w:spacing w:line="540" w:lineRule="exact"/>
        <w:jc w:val="center"/>
        <w:rPr>
          <w:rFonts w:hAnsi="宋体" w:eastAsia="仿宋_GB2312" w:cs="宋体"/>
          <w:kern w:val="0"/>
          <w:sz w:val="30"/>
          <w:szCs w:val="30"/>
        </w:rPr>
      </w:pPr>
    </w:p>
    <w:p w14:paraId="5588F7D2">
      <w:pPr>
        <w:spacing w:line="540" w:lineRule="exact"/>
        <w:rPr>
          <w:rFonts w:hAnsi="宋体" w:eastAsia="仿宋_GB2312" w:cs="宋体"/>
          <w:kern w:val="0"/>
          <w:sz w:val="30"/>
          <w:szCs w:val="30"/>
        </w:rPr>
      </w:pPr>
    </w:p>
    <w:p w14:paraId="23E2F4A6">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4494D87">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环境监测运转经费</w:t>
      </w:r>
    </w:p>
    <w:p w14:paraId="5BD46E8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昌吉州生态环境局昌吉市分局</w:t>
      </w:r>
    </w:p>
    <w:p w14:paraId="00FE286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昌吉州生态环境局昌吉市分局</w:t>
      </w:r>
      <w:bookmarkStart w:id="0" w:name="_GoBack"/>
      <w:bookmarkEnd w:id="0"/>
    </w:p>
    <w:p w14:paraId="73FEB12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李高产</w:t>
      </w:r>
    </w:p>
    <w:p w14:paraId="2DCE5846">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2025年03月14日</w:t>
      </w:r>
    </w:p>
    <w:p w14:paraId="779F7F57">
      <w:pPr>
        <w:spacing w:line="700" w:lineRule="exact"/>
        <w:ind w:firstLine="708" w:firstLineChars="236"/>
        <w:jc w:val="left"/>
        <w:rPr>
          <w:rFonts w:hAnsi="宋体" w:eastAsia="仿宋_GB2312" w:cs="宋体"/>
          <w:kern w:val="0"/>
          <w:sz w:val="30"/>
          <w:szCs w:val="30"/>
        </w:rPr>
      </w:pPr>
    </w:p>
    <w:p w14:paraId="48837BB1">
      <w:pPr>
        <w:spacing w:line="540" w:lineRule="exact"/>
        <w:rPr>
          <w:rStyle w:val="19"/>
          <w:rFonts w:ascii="黑体" w:hAnsi="黑体" w:eastAsia="黑体"/>
          <w:b w:val="0"/>
          <w:spacing w:val="-4"/>
          <w:sz w:val="32"/>
          <w:szCs w:val="32"/>
        </w:rPr>
      </w:pPr>
    </w:p>
    <w:p w14:paraId="4DBE740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CB48B79">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3097732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（一）项目概况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自治州深化环境监测改革提升环境监测能力工作实施方案》通知要求，以提升“三个能力”（软实力、硬实力、核心支持力）为抓手，以提高专业技术人员素质为出发点，以标准化建设为目标，多措并举提升能力建设。提高现有人员和监测能力、开展水和废水中pH值、氨氮、总磷、总氮、化学需氧量等基本项目监测工作，从而进一步提升昌吉市生态环境监测站的监测能力水平，为昌吉市辖区内环境质量、污染源监测提供准确可靠的数据，特设立本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（1）项目名称：环境监测运转费（以下简称“该项目”或“项目”）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采购标准物质、进行仪器的维修、维护和检定、改造实验室环境设施、购置实验耗材以及日常监测办公用品。负责对本辖区排污单位进行土壤、水与废水、空气和废气以及噪声等环境排污行为的执法监测和应急监测工作。执行“千吨万人”饮用水水源地水质监测、农业面源污染源水质等生态监测任务。开展大气污染防治网格化监督管理工作，并聘请大气污染防治监督员。根据规定执行土壤、生态、水质采样检测，依照标准进行噪声检测，监控水土质量和噪声音量，有效管理水土环境和噪声环境，以提升环境质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实施主体：昌吉市生态环境监测站。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实施时间：本项目实施周期为2024年1月1日-2024年12月9日。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根据环境监测站承担的环境噪声监测、执法监测、水质采样送样等各项监测任务，严格按照实验室质量管理规定，落实三级质量管理体制，由质量监督员负责站内日常监测工作质量的监督检查，从监测布点、样品采集、运输、保存，按监测规范层层把关，主要检查日常监测质量控制的落实情况，检查分析人员的操作过程、原始记录等。从而使监测质量管理工作从组织机构上得到保证，向环境管理部门提供及时准确可靠的监测数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①开展全市环境质量监测工作，收集、整理和汇总本区域的生态环境监测数据资料。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②编制环境监测各类报告、环境质量季报、年报等，及时准确、科学系统地掌握和评价昌吉市环境质量状况及发展趋势。</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③组织开展全市污染源监督性监测工作，及时准确地掌握污染源排放状况及变化趋势，准确掌握监测数据。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④承担应急监测任务，负责污染事件的调查监测，承担执法监测，为环境执法提供监测数据。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⑤开展全市环境监测网络建设工作，组织协调大气自动监测站的运维工作。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⑥组织开展森林城市、文明城市、卫生城市（爱国卫生）等创建工作。承接州生态环境局环境监测站相关工作。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昌吉市生态环境监测站内设三个科室：综合技术室、分析质控室,污染源调查室。</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本项目预算安排总额为7.00万元，资金来源为州本级预算，其中：财政资金7.00万元，其他资金0.00万元，2024年实际收到预算资金7.00万元，预算资金到位率为100.00%。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截至2024年12月31日，本项目实际支付资金7.00万元，预算执行率100.00%。本项目资金主要用于支付环境质量监测工作3.00万元；常规性监测工作4万元。</w:t>
      </w:r>
    </w:p>
    <w:p w14:paraId="4BD5896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4321B34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（二）项目绩效目标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全市环境质量监测工作，收集、整理和汇总本区域的生态环境监测数据资料，编制环境监测各类报告，科学系统地掌握和评价昌吉市环境质量状况及发展趋势，组织开展全市污染源监督性监测工作，及时准确地掌握污染源排放状况及变化趋势，准确掌握监测数据；承担应急监测任务，负责污染事件的调查监测；承担执法监测，为环境执法提供监测数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“采购实验耗材（试剂、器皿）”指标，预期指标值为“≥1批”；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“执法监测、应急监测、生态监测”指标，预期指标值为“≥1次”；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“大气网格化监管、巡查、处置”指标，预期指标值为“≥1次”；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“土壤、生态、水质采样及噪声监测”指标，预期指标值为“≥1次”。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“监测计划完成时间”指标，预期指标值为“2024年12月15日”；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“监测设备验收合格率”指标，“预期指标值为≥90%”。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“实验室监测耗材采购成本”指标，预期指标值为“≤3万元”；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“监测站运行经费”指标，预期指标值为“≤4万元”；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“成本控制率”指标，预期指标值为“=100%”。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“开展生态环境监测，掌握水、气、声、土壤环境质量状况，变化趋势，为环境决策管理提供数据支撑。”指标，预期指标值为“有效提高”；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“有效改善区域内生态环境质量”指标，预期指标值为“有效提高”；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3B0A280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0353FDB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3545F01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（一）绩效评价的目的、对象和范围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州财政支出绩效评价管理暂行办法》（昌州财预〔2018〕171号）、《关于印发&lt;自治区项目支出绩效目标设置指引&gt;的通知》（新财预〔2022〕42号）文件精神，我单位针对环境监测运转经费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此次我单位根据《财政支出绩效评价管理暂行办法》（财预〔2020〕10号）文件要求实施评价工作，本次评价对象为环境监测运转费项目，评价核心为项目资金、项目产出、项目效益。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08759C0">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0257D93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（二）绩效评价原则、评价指标体系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AB0707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4D19E6F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（三）绩效评价工作过程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2024年3月15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李高产（评价小组组长）：主要负责项目策划和监督，全面负责项目绩效评价办稿的最终质量，对评估人员出具的最终报告质量进行复核，确保评估结果的客观性；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刘炫君（评价小组组员）：主要负责资料的收集，取证、数据统计分析；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刘荣丽（评价小组组员）：主要负责主要负责项目报告的制定，指标的研判，数据分析及报告撰写。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2024年3月16日-3月25日，评价工作进入实施阶段。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质量管理、项目建设及验收等相关资料，完成绩效评价内容所需的印证资料整理，所有数据经核查后统计汇总。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2024年3月26日-4月8日，评价小组按照绩效评价的原则和规范，对取得的资料进行审查核实，对采集的数据进行分析，按照绩效评价指标评分表逐项进行打分、分析、汇总各方评价结果。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2024年4月9日-4月15日，评价小组撰写绩效评价报告，按照新疆维吾尔自治区财政绩效管理信息系统绩效评价模块中统一格式和文本框架撰写绩效评价报告并提交审核。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1498FCA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0F93F51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通过项目的实施，完成了环境监测产出目标，发挥了生态监测效益，为进一步提升昌吉市生态环境监测站的监测能力水平，为昌吉市辖区内环境质量、污染源监测提供了准确可靠的数据。但在实施过程中也存在一些不足：如绩效预算认识不够充分，绩效理念有待进一步强化，部门绩效管理理念尚未牢固树立，绩效管理专业人员匮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22个，实现三级指标数量22个，总体完成率100.00%。项目决策类指标共设置6个，满分指标6个，得分率100.00%；过程管理类指标共设置5个，满分指标5个，得分率100.00%；项目产出类指标共设置9个，满分指标9个，得分率100.00%；项目效益类指标共设置2个，满分指标2个，得分率100.00%；项目满意度类指标共设置0个，满分指标0个，得分率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30.00 100.00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30.00 100.00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100.00% 100.00% 100.00% 100.00% 100.00%</w:t>
      </w:r>
    </w:p>
    <w:p w14:paraId="2AD7C3F5">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516B136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40D87981">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（一）项目决策情况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项目决策类指标由3个二级指标6个三级指标构成，权重分21.00分，实际得分21.00分。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自治州深化环境监测改革提升环境监测能力工作实施方案》内容，符合行业发展规划和政策要求；本项目立项符合《昌吉市生态环境监测站单位配置内设机构和人员编制规定》中职责范围中的“昌吉市生态环境监测站的监测能力水平，为昌吉市辖区内环境质量、污染源监测提供准确可靠的数据。从而按照要求达到承担辖区范围内执法监测和生态环境应急监测任务的目的”，属于我单位履职所需；根据《财政资金直接支付申请书》，本项目资金性质为“公共财政预算”功能分类为“生态环境监测与信息”经济分类为“商品和服务支出”属于公共财政支持范围，符合中央、地方事权支出责任划分原则；经检查我单位财政应用平台指标，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自治州深化环境监测改革提升环境监测能力工作实施方案》（昌州环党组发〔2022〕32号）、《关于调整县市生态环境监测管理体制有关 事宜的通知》（昌州党编委〔2022〕54号）、《昌吉州生态监测技术方案》文件要求实施项目。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进一步提升昌吉市生态环境监测站的监测能力水平，为昌吉市辖区内环境质量、污染源监测提供准确可靠的数据。从而按照要求达到承担辖区范围内执法监测和生态环境应急监测任务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仪器维修维护检定、采购办公耗材、监测业务完成达到100%。通过开展生态环境监测，掌握水、气、声、土壤环境质量状况，变化趋势，为环境决策管理提供数据支撑，有效改善区域内生态环境质量；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了数量指标、质量指标、时效指标、成本指标，完成了生态环境监测工作，达到掌握水、气、声、土壤环境质量状况变化趋势、为环境决策提供数据支撑有效提高，有效改善区域内生态环境质量，有效保障了环境监测事务运行。年度绩效目标完成，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④该项目批复的预算金额为7.00万元，《项目支出绩效目标表》中预算金额为7.00万元，预算确定的项目资金与预算确定的项目投资额相匹配。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5个，三级指标11个，定量指标8个，定性指标3个，指标量化率为72.73%，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购置实验耗材（试剂、器皿、设备）仪器维修维护检定、危废处理≥1批”“执法监测、应急监测、生态监测≥1次”、“大气网格化监管、巡查、处置≥1次”、“土壤、生态、水质采样及噪声监测≥1次”，三级指标的年度指标值与年度绩效目标中任务数一致，未设置时效指标。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本项目预算编制通过以往年度的实际执行情况，综合考虑本年度情况，综合编制预算，即预算编制较科学且经过论证；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环境监测运转费，项目实际内容为确保生态环境监测实施方案中各项工作顺利完成，按计划完成辖区土壤、生态、水质采样及噪声监测等常规生态环境监测工作；确保辖区内区控环境空气自动监测站及机动车尾气执法站房稳定运行；监测站实验室基础设施维修维护费；监测技术人员参加实验室质量运行管理培训；监测仪器设备维修、维护、检定、校准；监测站实验室危废处理，预算申请与《环境监测运转费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7.00万元，我单位在预算申请中严格按照项目实施内容及测算标准进行核算，其中：环境监测运转费7.00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环境监测运转费项目资金的请示》和《环境监测运转费项目实施方案》为依据进行资金分配，预算资金分配依据充分。根据《环境监测运转费项目资金下达文件》，本项目实际到位资金7.00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71CFEB2F">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1C39761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（二）项目过程情况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本项目预算资金为7万元，其中：本级财政安排资金7万元，其他资金0万元，实际到位资金0万元。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资金到位率=（7.00/7.00）×100.00%=100.00%。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得分=（100.00%-60.00%）/（1-60.00%）×4.00=4.00分。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本项目实际支出资金7.00万元，预算执行率=（7.00/7.00）×100.00%=100.00%；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项目已完成，总体完成率为101.00%；项目完成，即总体目标完成率≥100.00%且90.00%≤执行率≤100.00%，得满分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市生态环境监测站资金管理办法》《昌吉市生态环境监测站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昌吉市生态环境监测站资金管理办法》《昌吉市生态环境监测站政府采购业务管理制度》《昌吉市生态环境监测站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昌吉市生态环境监测站资金管理办法》《昌吉市生态环境监测站政府采购业务管理制度》《昌吉市生态环境监测站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监测运行项目工作领导小组，由站长摆建明任组长，负责项目的组织工作；组员：李文婷，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35E3498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69D0AE3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（三）项目产出情况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项目产出类指标由3个二级指标和9个三级指标构成，权重分30.00分，实际得分30.00分。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“采购实验耗材（试剂、器皿）”指标，预期指标值为“≥1批”，实际完成指标值为“=1批”，指标完成率为100.00%；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“执法监测、应急监测、生态监测”指标，预期指标值为“≥1次”，实际完成指标值为“=1次”，指标完成率为100.00%；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“大气网格化监管、巡查、处置”指标，预期指标值为“≥1次”，实际完成指标值为“=1次”，指标完成率为100.00%；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“土壤、生态、水质采样及噪声监测”指标，预期指标值为“≥1次”，实际完成指标值为“=1次”，指标完成率为100.00%；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“监测计划完成时间”指标，预期指标值为“2024年12月15日”，实际完成指标值为“2024年12月9日”，指标完成率为100.00%；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“监测设备验收合格率”指标，“预期指标值为90%”。实际完成指标值为“100%”，指标完成率为111.11%；</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无该类指标。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“实验室监测耗材采购成本”指标：预期指标值为“≤3万元”，实际完成指标值为“=3.00万元”，指标完成率为100%。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“监测站运行经费”指标：预期指标值为“≤4万元”，实际完成指标值为“=4.00万元”，指标完成率为100%。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“成本控制率”指标，预期指标值为“=100%”，实际完成指标为“=100%”，指标完成率为100%。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w:t>
      </w:r>
    </w:p>
    <w:p w14:paraId="56CE794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497392E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（四）项目效益情况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项目效益类指标由2个二级指标和2个三级指标构成，权重分30.00分，实际得分30.00分。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无该类指标。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“开展生态环境监测，掌握水、气、声、土壤环境质量状况，变化趋势，为环境决策管理提供数据支撑”指标：预期指标值为“有效提高”，实际完成指标值为“达成预期目标”，指标完成率为100.00%。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综上所述，本指标满分为15.00分，根据评分标准得15.00分。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“有效改善区域内生态环境质量”指标：预期指标值为“有效提高”，实际完成指标值为“达成预期目标”，指标完成率为100%。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综上所述，本指标满分为15.00分，根据评分标准得15.00分。</w:t>
      </w:r>
    </w:p>
    <w:p w14:paraId="3CF9035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（五）项目满意度情况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无该类指标。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五、预算执行进度与绩效指标偏差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本项目年初预算资金总额为7.00万元，全年预算数为7.00万元，全年执行数为7.00万元，预算执行率为100.00%。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本项目共设置三级指标数量22个，满分指标数量22个，扣分指标数量0个，经分析计算所有三级指标完成率得出，本项目总体完成率为100.46%。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综上所述本项目预算执行率与总体完成率之间的偏差为0.46%。主要偏差原因是：监测设备验收合格率年初设置目标值为90%，本年度实际完成业绩值为100%，故产生此偏差。</w:t>
      </w:r>
    </w:p>
    <w:p w14:paraId="3B026578">
      <w:pPr>
        <w:spacing w:line="540" w:lineRule="exact"/>
        <w:ind w:firstLine="567"/>
        <w:rPr>
          <w:rStyle w:val="19"/>
          <w:rFonts w:hint="eastAsia" w:ascii="楷体" w:hAnsi="楷体" w:eastAsia="楷体"/>
          <w:b w:val="0"/>
          <w:bCs w:val="0"/>
          <w:spacing w:val="-4"/>
          <w:sz w:val="32"/>
          <w:szCs w:val="32"/>
        </w:rPr>
      </w:pPr>
    </w:p>
    <w:p w14:paraId="3F8EB8C6">
      <w:pPr>
        <w:spacing w:line="540" w:lineRule="exact"/>
        <w:ind w:firstLine="567"/>
        <w:rPr>
          <w:rStyle w:val="19"/>
          <w:rFonts w:ascii="楷体" w:hAnsi="楷体" w:eastAsia="楷体"/>
          <w:spacing w:val="-4"/>
          <w:sz w:val="32"/>
          <w:szCs w:val="32"/>
        </w:rPr>
      </w:pPr>
    </w:p>
    <w:p w14:paraId="069CF25D">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01C0783E">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领导小组深知集中精力于关键任务的重要性，因此他们将全部精力和力量都聚焦在那些对项目进展具有决定性影响的核心任务上，以此来切实促进项目工作的实际执行。为了能够有效推动项目工作的顺利开展，并在此过程中显著提升财政资金的使用效率，领导小组采取了一系列有力措施。他们首先进一步加强了全组成员的项目意识，确保每个人都深刻认识到项目的重要性及其对整体工作的深远影响。接着，他们严格按照预先制定的计划，全面而细致地整理了所有关键任务，确保没有任何遗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在明确了关键任务之后，领导小组进行了精心的策划和周密的部署。因此，他们在策划阶段就充分考虑了各种可能出现的困难和挑战，并制定了相应的应对措施。随后，他们紧抓执行环节，确保每一项任务都能按照既定计划稳步推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了确保项目工作的顺畅进行，领导小组还着重理顺了内部的职责分配和工作流程。他们明确了每个成员的职责范围，避免了职责不清、推诿扯皮的现象。同时，他们还对工作流程进行了优化，消除了不必要的环节，提高了工作效率。此外，领导小组还特别强调了责任和关键时间点的重要性，确保每个人都清楚自己的任务和完成时间，从而形成了一种紧张有序、高效运转的工作氛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在项目推进过程中，领导小组始终保持着高度的责任感和使命感，他们逐一检查并确保每一项具体事项都能得到有效落实。通过这种细致入微的管理方式，他们成功确保了项目的按时按质完成，不仅达到了预期的目标，还保障了项目的效益得以充分发挥，为后续工作的顺利开展奠定了坚实的基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1、绩效理解和认识深度不足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当前，对于绩效预算的理解和认识尚未达到充分的程度，绩效管理的理念仍需进一步深化和加强。在许多部门中，绩效管理的理念尚未牢固地树立起来，缺乏对绩效管理重要性的深刻认识。此外，专业的绩效管理人才相对匮乏，这限制了绩效管理工作的有效开展。在单位层面上，对于全面实施绩效管理的认识还不够深入，绩效水平普遍不高。单位内部的绩效管理工作力量相对薄弱，多数情况下，绩效管理工作主要由财务人员来牵头进行，缺乏专门的绩效管理团队。这种情况下，绩效管理工作的推动机制不够健全，难以形成有效的推动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2、工作机制与业务协同不完善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在工作机制和业务协同的层面上，存在着诸多不完善之处。具体来说，工作机制的构建缺乏系统性和科学性，导致在实际操作过程中容易出现流程不畅、责任不清等问题。同时，业务协同方面也未能形成高效、紧密的协作模式，各部门之间的沟通协调存在障碍，信息共享不及时，资源配置不合理，这些都严重影响了整体工作效率和业务成果的达成。因此，亟需对工作机制和业务协同进行全面的优化和改进，以提升组织的运行效能和业务协同水平。</w:t>
      </w:r>
    </w:p>
    <w:p w14:paraId="0CD60B1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71E36404">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1、为了更加高效和全面地推进绩效管理工作的深入开展，我们迫切需要进一步加深对绩效预算内涵与外延的深刻认识，不断深化和内化绩效管理的先进理念，积极培养和储备一大批具备扎实理论基础和丰富实践经验的绩效管理专业人才。与此同时，各单位也必须高度重视并切实加强对全面实施绩效管理重要性和必要性的深刻理解，着力提升整体绩效水平，逐步构建并完善科学、系统、规范的绩效管理工作机制，持续加强对业务人员的系统培训和专业能力提升，从而确保绩效管理工作能够有条不紊、高效有序地顺利开展，为单位的持续健康发展提供坚实保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2、针对当前工作机制中存在的效率不高、流程不顺畅等显著缺陷，以及在实际业务协同过程中出现的沟通不顺畅、协作关系不够紧密等突出性问题，我们将展开一场全面且细致入微的优化与改进工作。此次优化与改进的核心目标，旨在构建一套更加科学、合理且符合实际需求的工作机制，同时着重强化各部门之间的业务协同能力，确保各项具体工作能够在高效、有序的环境中稳步推进。通过这一系列的优化措施，我们期望能够从根本上解决当前工作机制与业务协同方面存在的诸多不完善之处，为企业的长远发展奠定坚实的基础。</w:t>
      </w:r>
    </w:p>
    <w:p w14:paraId="0B04BF2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44E0A3F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8C17C7B">
      <w:pPr>
        <w:spacing w:line="540" w:lineRule="exact"/>
        <w:ind w:firstLine="567"/>
        <w:rPr>
          <w:rStyle w:val="19"/>
          <w:rFonts w:ascii="仿宋" w:hAnsi="仿宋" w:eastAsia="仿宋"/>
          <w:b w:val="0"/>
          <w:spacing w:val="-4"/>
          <w:sz w:val="32"/>
          <w:szCs w:val="32"/>
        </w:rPr>
      </w:pPr>
    </w:p>
    <w:p w14:paraId="0EDC28F9">
      <w:pPr>
        <w:spacing w:line="540" w:lineRule="exact"/>
        <w:ind w:firstLine="567"/>
        <w:rPr>
          <w:rStyle w:val="19"/>
          <w:rFonts w:ascii="仿宋" w:hAnsi="仿宋" w:eastAsia="仿宋"/>
          <w:b w:val="0"/>
          <w:spacing w:val="-4"/>
          <w:sz w:val="32"/>
          <w:szCs w:val="32"/>
        </w:rPr>
      </w:pPr>
    </w:p>
    <w:p w14:paraId="453300C7">
      <w:pPr>
        <w:spacing w:line="540" w:lineRule="exact"/>
        <w:ind w:firstLine="567"/>
        <w:rPr>
          <w:rStyle w:val="19"/>
          <w:rFonts w:ascii="仿宋" w:hAnsi="仿宋" w:eastAsia="仿宋"/>
          <w:b w:val="0"/>
          <w:spacing w:val="-4"/>
          <w:sz w:val="32"/>
          <w:szCs w:val="32"/>
        </w:rPr>
      </w:pPr>
    </w:p>
    <w:p w14:paraId="07ECA4EE">
      <w:pPr>
        <w:spacing w:line="540" w:lineRule="exact"/>
        <w:ind w:firstLine="567"/>
        <w:rPr>
          <w:rStyle w:val="19"/>
          <w:rFonts w:ascii="仿宋" w:hAnsi="仿宋" w:eastAsia="仿宋"/>
          <w:b w:val="0"/>
          <w:spacing w:val="-4"/>
          <w:sz w:val="32"/>
          <w:szCs w:val="32"/>
        </w:rPr>
      </w:pPr>
    </w:p>
    <w:p w14:paraId="2555CF36">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E938029-38F3-4F29-93F7-F54D49D8522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1398B00A-F57C-4E14-A40B-092E41AC6C28}"/>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D9750EA-AA56-4A73-A383-A985F8A558DB}"/>
  </w:font>
  <w:font w:name="华文中宋">
    <w:panose1 w:val="02010600040101010101"/>
    <w:charset w:val="86"/>
    <w:family w:val="auto"/>
    <w:pitch w:val="default"/>
    <w:sig w:usb0="00000287" w:usb1="080F0000" w:usb2="00000000" w:usb3="00000000" w:csb0="0004009F" w:csb1="DFD70000"/>
    <w:embedRegular r:id="rId4" w:fontKey="{C49F05C2-DF61-42D3-B519-38142498C097}"/>
  </w:font>
  <w:font w:name="方正小标宋_GBK">
    <w:panose1 w:val="02000000000000000000"/>
    <w:charset w:val="86"/>
    <w:family w:val="script"/>
    <w:pitch w:val="default"/>
    <w:sig w:usb0="A00002BF" w:usb1="38CF7CFA" w:usb2="00082016" w:usb3="00000000" w:csb0="00040001" w:csb1="00000000"/>
    <w:embedRegular r:id="rId5" w:fontKey="{BCA96C42-2F84-4C07-BF3F-567109954DFB}"/>
  </w:font>
  <w:font w:name="仿宋_GB2312">
    <w:altName w:val="仿宋"/>
    <w:panose1 w:val="00000000000000000000"/>
    <w:charset w:val="86"/>
    <w:family w:val="modern"/>
    <w:pitch w:val="default"/>
    <w:sig w:usb0="00000000" w:usb1="00000000" w:usb2="00000010" w:usb3="00000000" w:csb0="00040000" w:csb1="00000000"/>
    <w:embedRegular r:id="rId6" w:fontKey="{16010DCF-E8B2-479F-98BD-51F54E593E0C}"/>
  </w:font>
  <w:font w:name="楷体">
    <w:panose1 w:val="02010609060101010101"/>
    <w:charset w:val="86"/>
    <w:family w:val="modern"/>
    <w:pitch w:val="default"/>
    <w:sig w:usb0="800002BF" w:usb1="38CF7CFA" w:usb2="00000016" w:usb3="00000000" w:csb0="00040001" w:csb1="00000000"/>
    <w:embedRegular r:id="rId7" w:fontKey="{43253136-F343-4FC0-ADBE-3E30E7A9C0C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75F1C36">
        <w:pPr>
          <w:pStyle w:val="12"/>
          <w:jc w:val="center"/>
        </w:pPr>
        <w:r>
          <w:fldChar w:fldCharType="begin"/>
        </w:r>
        <w:r>
          <w:instrText xml:space="preserve">PAGE   \* MERGEFORMAT</w:instrText>
        </w:r>
        <w:r>
          <w:fldChar w:fldCharType="separate"/>
        </w:r>
        <w:r>
          <w:rPr>
            <w:lang w:val="zh-CN"/>
          </w:rPr>
          <w:t>2</w:t>
        </w:r>
        <w:r>
          <w:fldChar w:fldCharType="end"/>
        </w:r>
      </w:p>
    </w:sdtContent>
  </w:sdt>
  <w:p w14:paraId="7BB4D26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455D43B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b351c71b-ddcb-48ea-a011-94b26622913b}">
  <ds:schemaRefs/>
</ds:datastoreItem>
</file>

<file path=docProps/app.xml><?xml version="1.0" encoding="utf-8"?>
<Properties xmlns="http://schemas.openxmlformats.org/officeDocument/2006/extended-properties" xmlns:vt="http://schemas.openxmlformats.org/officeDocument/2006/docPropsVTypes">
  <Template>Normal.dotm</Template>
  <Pages>28</Pages>
  <Words>9490</Words>
  <Characters>9940</Characters>
  <Lines>4</Lines>
  <Paragraphs>1</Paragraphs>
  <TotalTime>7</TotalTime>
  <ScaleCrop>false</ScaleCrop>
  <LinksUpToDate>false</LinksUpToDate>
  <CharactersWithSpaces>9978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忆</cp:lastModifiedBy>
  <cp:lastPrinted>2018-12-31T10:56:00Z</cp:lastPrinted>
  <dcterms:modified xsi:type="dcterms:W3CDTF">2025-10-15T07:06:52Z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86A4BE803B594D54BB30BEB283D7FDDD_13</vt:lpwstr>
  </property>
  <property fmtid="{D5CDD505-2E9C-101B-9397-08002B2CF9AE}" pid="4" name="KSOTemplateDocerSaveRecord">
    <vt:lpwstr>eyJoZGlkIjoiMzEwNjkzMWMxZWMzNzU0NmUyNzQ2NGY3YzlmZjBhZDUiLCJ1c2VySWQiOiI0OTMxMTE3MjUifQ==</vt:lpwstr>
  </property>
</Properties>
</file>