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昌吉州消防支队2024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433420D">
      <w:r>
        <w:br w:type="page"/>
      </w:r>
    </w:p>
    <w:p w14:paraId="0FFEFB15">
      <w:pPr>
        <w:spacing w:line="640" w:lineRule="exact"/>
        <w:jc w:val="center"/>
        <w:outlineLvl w:val="1"/>
      </w:pPr>
      <w:r>
        <w:rPr>
          <w:rFonts w:ascii="黑体" w:hAnsi="黑体" w:eastAsia="黑体"/>
          <w:sz w:val="32"/>
        </w:rPr>
        <w:t>第一部分 单位概况</w:t>
      </w:r>
    </w:p>
    <w:p w14:paraId="27B5823D">
      <w:pPr>
        <w:spacing w:line="640" w:lineRule="exact"/>
        <w:ind w:firstLine="640"/>
        <w:jc w:val="both"/>
        <w:outlineLvl w:val="2"/>
      </w:pPr>
      <w:r>
        <w:rPr>
          <w:rFonts w:ascii="黑体" w:hAnsi="黑体" w:eastAsia="黑体"/>
          <w:sz w:val="32"/>
        </w:rPr>
        <w:t>一、主要职能</w:t>
      </w:r>
    </w:p>
    <w:p w14:paraId="5C92A271">
      <w:pPr>
        <w:spacing w:line="580" w:lineRule="exact"/>
        <w:ind w:firstLine="640"/>
        <w:jc w:val="both"/>
      </w:pPr>
      <w:r>
        <w:rPr>
          <w:rFonts w:ascii="仿宋_GB2312" w:hAnsi="仿宋_GB2312" w:eastAsia="仿宋_GB2312"/>
          <w:sz w:val="32"/>
        </w:rPr>
        <w:t>昌吉州消防救援支队在总队党委的坚强领导下，支队党委以习近平新时代中国特色社会主义思想和重要训词精神为统领，深入学习贯彻党的十九届四中、五中全会精神，坚持围绕中心、服务大局，坚持破立并举、守正创新，按照“提质强能年”的要求，秉持“强基础、防风险、求创新、创一流”的工作思路，牢牢把握“五个不动摇”的根本原则不放松，在防范化解重大安全风险、应对处置各类灾害事故上实现能力跃升，奋力实现机制更优、主业更精、基础更牢、队伍更强的目标，确保昌吉州消防救援队伍始终是党和人民信得过的力量，为昌吉州全面建成小康社会营造了良好的消防安全环境。</w:t>
      </w:r>
    </w:p>
    <w:p w14:paraId="46FE2839">
      <w:pPr>
        <w:spacing w:line="640" w:lineRule="exact"/>
        <w:ind w:firstLine="640"/>
        <w:jc w:val="both"/>
        <w:outlineLvl w:val="2"/>
      </w:pPr>
      <w:r>
        <w:rPr>
          <w:rFonts w:ascii="黑体" w:hAnsi="黑体" w:eastAsia="黑体"/>
          <w:sz w:val="32"/>
        </w:rPr>
        <w:t>二、机构设置及人员情况</w:t>
      </w:r>
    </w:p>
    <w:p w14:paraId="0390FAD8">
      <w:pPr>
        <w:spacing w:line="580" w:lineRule="exact"/>
        <w:ind w:firstLine="640"/>
        <w:jc w:val="both"/>
      </w:pPr>
      <w:r>
        <w:rPr>
          <w:rFonts w:ascii="仿宋_GB2312" w:hAnsi="仿宋_GB2312" w:eastAsia="仿宋_GB2312"/>
          <w:sz w:val="32"/>
        </w:rPr>
        <w:t>昌吉州消防支队2024年度，实有人数27人，其中：在职人员27人，增加1人；离休人员0人，增加0人；退休人员0人,增加0人。</w:t>
      </w:r>
    </w:p>
    <w:p w14:paraId="7A8D4680">
      <w:pPr>
        <w:spacing w:line="580" w:lineRule="exact"/>
        <w:ind w:firstLine="640"/>
        <w:jc w:val="both"/>
      </w:pPr>
      <w:r>
        <w:rPr>
          <w:rFonts w:ascii="仿宋_GB2312" w:hAnsi="仿宋_GB2312" w:eastAsia="仿宋_GB2312"/>
          <w:sz w:val="32"/>
        </w:rPr>
        <w:t>昌吉州消防支队无下属预算单位，下设10个科室，分别是：办公室、指挥中心、作战训练科、组织干部科、队务督察科、防火监督科、综合指导科、后勤装备科、财务科、战勤保障科。</w:t>
      </w:r>
    </w:p>
    <w:p w14:paraId="43C36516">
      <w:r>
        <w:br w:type="page"/>
      </w:r>
    </w:p>
    <w:p w14:paraId="0E1D2336">
      <w:pPr>
        <w:spacing w:line="240" w:lineRule="auto"/>
        <w:jc w:val="center"/>
        <w:outlineLvl w:val="1"/>
      </w:pPr>
      <w:r>
        <w:rPr>
          <w:rFonts w:ascii="黑体" w:hAnsi="黑体" w:eastAsia="黑体"/>
          <w:sz w:val="32"/>
        </w:rPr>
        <w:t>第二部分 部门决算情况说明</w:t>
      </w:r>
    </w:p>
    <w:p w14:paraId="0281D141">
      <w:pPr>
        <w:spacing w:line="640" w:lineRule="exact"/>
        <w:ind w:firstLine="640"/>
        <w:jc w:val="both"/>
        <w:outlineLvl w:val="2"/>
      </w:pPr>
      <w:r>
        <w:rPr>
          <w:rFonts w:ascii="黑体" w:hAnsi="黑体" w:eastAsia="黑体"/>
          <w:sz w:val="32"/>
        </w:rPr>
        <w:t>一、收入支出决算总体情况说明</w:t>
      </w:r>
    </w:p>
    <w:p w14:paraId="7FBA9AC7">
      <w:pPr>
        <w:spacing w:line="580" w:lineRule="exact"/>
        <w:ind w:firstLine="640"/>
        <w:jc w:val="both"/>
      </w:pPr>
      <w:r>
        <w:rPr>
          <w:rFonts w:ascii="仿宋_GB2312" w:hAnsi="仿宋_GB2312" w:eastAsia="仿宋_GB2312"/>
          <w:b/>
          <w:sz w:val="32"/>
        </w:rPr>
        <w:t>2024年度收入总计1,301.60万元，</w:t>
      </w:r>
      <w:r>
        <w:rPr>
          <w:rFonts w:ascii="仿宋_GB2312" w:hAnsi="仿宋_GB2312" w:eastAsia="仿宋_GB2312"/>
          <w:b w:val="0"/>
          <w:sz w:val="32"/>
        </w:rPr>
        <w:t>其中：本年收入合计1,301.60万元，使用非财政拨款结余（含专用结余）0.00万元，年初结转和结余0.00万元。</w:t>
      </w:r>
    </w:p>
    <w:p w14:paraId="1E4C7526">
      <w:pPr>
        <w:spacing w:line="580" w:lineRule="exact"/>
        <w:ind w:firstLine="640"/>
        <w:jc w:val="both"/>
      </w:pPr>
      <w:r>
        <w:rPr>
          <w:rFonts w:ascii="仿宋_GB2312" w:hAnsi="仿宋_GB2312" w:eastAsia="仿宋_GB2312"/>
          <w:b/>
          <w:sz w:val="32"/>
        </w:rPr>
        <w:t>2024年度支出总计1,301.60万元，</w:t>
      </w:r>
      <w:r>
        <w:rPr>
          <w:rFonts w:ascii="仿宋_GB2312" w:hAnsi="仿宋_GB2312" w:eastAsia="仿宋_GB2312"/>
          <w:b w:val="0"/>
          <w:sz w:val="32"/>
        </w:rPr>
        <w:t>其中：本年支出合计</w:t>
      </w:r>
      <w:r>
        <w:rPr>
          <w:rFonts w:ascii="仿宋_GB2312" w:hAnsi="仿宋_GB2312" w:eastAsia="仿宋_GB2312"/>
          <w:b w:val="0"/>
          <w:spacing w:val="-6"/>
          <w:sz w:val="32"/>
        </w:rPr>
        <w:t>1,301.60万元，结余分配0.00万元，年末结转和结余0.00万元。</w:t>
      </w:r>
    </w:p>
    <w:p w14:paraId="3609A6CE">
      <w:pPr>
        <w:spacing w:line="580" w:lineRule="exact"/>
        <w:ind w:firstLine="640"/>
        <w:jc w:val="both"/>
      </w:pPr>
      <w:r>
        <w:rPr>
          <w:rFonts w:ascii="仿宋_GB2312" w:hAnsi="仿宋_GB2312" w:eastAsia="仿宋_GB2312"/>
          <w:b w:val="0"/>
          <w:sz w:val="32"/>
        </w:rPr>
        <w:t>收入支出总体与上年相比，减少2,932.62万元，下降69.26%，主要原因是：本年减少地方项目资金-专用设备购置经费。</w:t>
      </w:r>
    </w:p>
    <w:p w14:paraId="3C74B7DE">
      <w:pPr>
        <w:spacing w:line="640" w:lineRule="exact"/>
        <w:ind w:firstLine="640"/>
        <w:jc w:val="both"/>
        <w:outlineLvl w:val="2"/>
      </w:pPr>
      <w:r>
        <w:rPr>
          <w:rFonts w:ascii="黑体" w:hAnsi="黑体" w:eastAsia="黑体"/>
          <w:sz w:val="32"/>
        </w:rPr>
        <w:t>二、收入决算情况说明</w:t>
      </w:r>
    </w:p>
    <w:p w14:paraId="1C9D47CB">
      <w:pPr>
        <w:spacing w:line="580" w:lineRule="exact"/>
        <w:ind w:firstLine="640"/>
        <w:jc w:val="both"/>
      </w:pPr>
      <w:r>
        <w:rPr>
          <w:rFonts w:ascii="仿宋_GB2312" w:hAnsi="仿宋_GB2312" w:eastAsia="仿宋_GB2312"/>
          <w:b/>
          <w:sz w:val="32"/>
        </w:rPr>
        <w:t>本年收入1,301.60万元，</w:t>
      </w:r>
      <w:r>
        <w:rPr>
          <w:rFonts w:ascii="仿宋_GB2312" w:hAnsi="仿宋_GB2312" w:eastAsia="仿宋_GB2312"/>
          <w:b w:val="0"/>
          <w:sz w:val="32"/>
        </w:rPr>
        <w:t>其中：财政拨款收入1,301.60万元，占100.00%；上级补助收入0.00万元，占0.00%；事业收入0.00万元，占0.00%；经营收入0.00万元，占0.00%；附属单位上缴收入0.00万元，占0.00%；其他收入0.00万元，占0.00%。</w:t>
      </w:r>
    </w:p>
    <w:p w14:paraId="60E73F7B">
      <w:pPr>
        <w:spacing w:line="640" w:lineRule="exact"/>
        <w:ind w:firstLine="640"/>
        <w:jc w:val="both"/>
        <w:outlineLvl w:val="2"/>
      </w:pPr>
      <w:r>
        <w:rPr>
          <w:rFonts w:ascii="黑体" w:hAnsi="黑体" w:eastAsia="黑体"/>
          <w:sz w:val="32"/>
        </w:rPr>
        <w:t>三、支出决算情况说明</w:t>
      </w:r>
    </w:p>
    <w:p w14:paraId="3FAA38CC">
      <w:pPr>
        <w:spacing w:line="580" w:lineRule="exact"/>
        <w:ind w:firstLine="640"/>
        <w:jc w:val="both"/>
      </w:pPr>
      <w:r>
        <w:rPr>
          <w:rFonts w:ascii="仿宋_GB2312" w:hAnsi="仿宋_GB2312" w:eastAsia="仿宋_GB2312"/>
          <w:b/>
          <w:sz w:val="32"/>
        </w:rPr>
        <w:t>本年支出1,301.60万元，</w:t>
      </w:r>
      <w:r>
        <w:rPr>
          <w:rFonts w:ascii="仿宋_GB2312" w:hAnsi="仿宋_GB2312" w:eastAsia="仿宋_GB2312"/>
          <w:b w:val="0"/>
          <w:sz w:val="32"/>
        </w:rPr>
        <w:t>其中：基本支出580.60万元，占44.61%；项目支出721.00万元，占55.39%；上缴上级支出0.00万元，占0.00%；经营支出0.00万元，占0.00%；对附属单位补助支出0.00万元，占0.00%。</w:t>
      </w:r>
    </w:p>
    <w:p w14:paraId="69616140">
      <w:pPr>
        <w:spacing w:line="640" w:lineRule="exact"/>
        <w:ind w:firstLine="640"/>
        <w:jc w:val="both"/>
        <w:outlineLvl w:val="2"/>
      </w:pPr>
      <w:r>
        <w:rPr>
          <w:rFonts w:ascii="黑体" w:hAnsi="黑体" w:eastAsia="黑体"/>
          <w:sz w:val="32"/>
        </w:rPr>
        <w:t>四、财政拨款收入支出决算总体情况说明</w:t>
      </w:r>
    </w:p>
    <w:p w14:paraId="6EECA393">
      <w:pPr>
        <w:spacing w:line="580" w:lineRule="exact"/>
        <w:ind w:firstLine="640"/>
        <w:jc w:val="both"/>
      </w:pPr>
      <w:r>
        <w:rPr>
          <w:rFonts w:ascii="仿宋_GB2312" w:hAnsi="仿宋_GB2312" w:eastAsia="仿宋_GB2312"/>
          <w:b/>
          <w:sz w:val="32"/>
        </w:rPr>
        <w:t>2024年度财政拨款收入总计1,301.60万元，</w:t>
      </w:r>
      <w:r>
        <w:rPr>
          <w:rFonts w:ascii="仿宋_GB2312" w:hAnsi="仿宋_GB2312" w:eastAsia="仿宋_GB2312"/>
          <w:b w:val="0"/>
          <w:sz w:val="32"/>
        </w:rPr>
        <w:t>其中：年初财政拨款结转和结余0.00万元，本年财政拨款收入1,301.60万元。</w:t>
      </w:r>
      <w:r>
        <w:rPr>
          <w:rFonts w:ascii="仿宋_GB2312" w:hAnsi="仿宋_GB2312" w:eastAsia="仿宋_GB2312"/>
          <w:b/>
          <w:sz w:val="32"/>
        </w:rPr>
        <w:t>财政拨款支出总计1,301.60万元，</w:t>
      </w:r>
      <w:r>
        <w:rPr>
          <w:rFonts w:ascii="仿宋_GB2312" w:hAnsi="仿宋_GB2312" w:eastAsia="仿宋_GB2312"/>
          <w:b w:val="0"/>
          <w:sz w:val="32"/>
        </w:rPr>
        <w:t>其中：年末财政拨款结转和结余0.00万元，本年财政拨款支出1,301.60万元。</w:t>
      </w:r>
    </w:p>
    <w:p w14:paraId="217F1A9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减少2,932.62万元，下降69.26%，主要原因是：本年减少地方项目资金-专用设备购置经费。</w:t>
      </w:r>
      <w:r>
        <w:rPr>
          <w:rFonts w:ascii="仿宋_GB2312" w:hAnsi="仿宋_GB2312" w:eastAsia="仿宋_GB2312"/>
          <w:b/>
          <w:sz w:val="32"/>
        </w:rPr>
        <w:t>与年初预算相比，</w:t>
      </w:r>
      <w:r>
        <w:rPr>
          <w:rFonts w:ascii="仿宋_GB2312" w:hAnsi="仿宋_GB2312" w:eastAsia="仿宋_GB2312"/>
          <w:b w:val="0"/>
          <w:sz w:val="32"/>
        </w:rPr>
        <w:t>年初预算数1,311.60万元，决算数1,301.60万元，预决算差异率-0.76%，主要原因是：年中调减</w:t>
      </w:r>
      <w:r>
        <w:rPr>
          <w:rFonts w:hint="eastAsia" w:ascii="仿宋_GB2312" w:hAnsi="仿宋_GB2312" w:eastAsia="仿宋_GB2312"/>
          <w:b w:val="0"/>
          <w:sz w:val="32"/>
          <w:lang w:val="en-US" w:eastAsia="zh-CN"/>
        </w:rPr>
        <w:t>专项</w:t>
      </w:r>
      <w:r>
        <w:rPr>
          <w:rFonts w:ascii="仿宋_GB2312" w:hAnsi="仿宋_GB2312" w:eastAsia="仿宋_GB2312"/>
          <w:b w:val="0"/>
          <w:sz w:val="32"/>
        </w:rPr>
        <w:t>项目资金，导致预决算存在差异。</w:t>
      </w:r>
    </w:p>
    <w:p w14:paraId="149B8D15">
      <w:pPr>
        <w:spacing w:line="640" w:lineRule="exact"/>
        <w:ind w:firstLine="640"/>
        <w:jc w:val="both"/>
        <w:outlineLvl w:val="2"/>
      </w:pPr>
      <w:r>
        <w:rPr>
          <w:rFonts w:ascii="黑体" w:hAnsi="黑体" w:eastAsia="黑体"/>
          <w:sz w:val="32"/>
        </w:rPr>
        <w:t>五、一般公共预算财政拨款支出决算情况说明</w:t>
      </w:r>
    </w:p>
    <w:p w14:paraId="0B3A04D1">
      <w:pPr>
        <w:spacing w:line="640" w:lineRule="exact"/>
        <w:ind w:firstLine="640"/>
        <w:jc w:val="both"/>
        <w:outlineLvl w:val="3"/>
      </w:pPr>
      <w:r>
        <w:rPr>
          <w:rFonts w:ascii="楷体_GB2312" w:hAnsi="楷体_GB2312" w:eastAsia="楷体_GB2312"/>
          <w:b/>
          <w:sz w:val="32"/>
        </w:rPr>
        <w:t>（一）一般公共预算财政拨款支出决算总体情况</w:t>
      </w:r>
    </w:p>
    <w:p w14:paraId="4F35F413">
      <w:pPr>
        <w:spacing w:line="580" w:lineRule="exact"/>
        <w:ind w:firstLine="640"/>
        <w:jc w:val="both"/>
      </w:pPr>
      <w:r>
        <w:rPr>
          <w:rFonts w:ascii="仿宋_GB2312" w:hAnsi="仿宋_GB2312" w:eastAsia="仿宋_GB2312"/>
          <w:b/>
          <w:sz w:val="32"/>
        </w:rPr>
        <w:t>2024年度一般公共预算财政拨款支出1,301.60万元，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减少2,932.62万元，下降69.26%，主要原因是：本年减少地方项目资金-专用设备购置经费。</w:t>
      </w:r>
      <w:r>
        <w:rPr>
          <w:rFonts w:ascii="仿宋_GB2312" w:hAnsi="仿宋_GB2312" w:eastAsia="仿宋_GB2312"/>
          <w:b/>
          <w:sz w:val="32"/>
        </w:rPr>
        <w:t>与年初预算相比,</w:t>
      </w:r>
      <w:r>
        <w:rPr>
          <w:rFonts w:ascii="仿宋_GB2312" w:hAnsi="仿宋_GB2312" w:eastAsia="仿宋_GB2312"/>
          <w:b w:val="0"/>
          <w:sz w:val="32"/>
        </w:rPr>
        <w:t>年初预算数1,311.60万元，决算数1,301.60万元，预决算差异率-0.76%，主要原因是：年中调减</w:t>
      </w:r>
      <w:r>
        <w:rPr>
          <w:rFonts w:hint="eastAsia" w:ascii="仿宋_GB2312" w:hAnsi="仿宋_GB2312" w:eastAsia="仿宋_GB2312"/>
          <w:b w:val="0"/>
          <w:sz w:val="32"/>
          <w:lang w:val="en-US" w:eastAsia="zh-CN"/>
        </w:rPr>
        <w:t>专项</w:t>
      </w:r>
      <w:bookmarkStart w:id="0" w:name="_GoBack"/>
      <w:bookmarkEnd w:id="0"/>
      <w:r>
        <w:rPr>
          <w:rFonts w:ascii="仿宋_GB2312" w:hAnsi="仿宋_GB2312" w:eastAsia="仿宋_GB2312"/>
          <w:b w:val="0"/>
          <w:sz w:val="32"/>
        </w:rPr>
        <w:t>项目资金，导致预决算存在差异。</w:t>
      </w:r>
    </w:p>
    <w:p w14:paraId="2542951B">
      <w:pPr>
        <w:spacing w:line="640" w:lineRule="exact"/>
        <w:ind w:firstLine="640"/>
        <w:jc w:val="both"/>
        <w:outlineLvl w:val="3"/>
      </w:pPr>
      <w:r>
        <w:rPr>
          <w:rFonts w:ascii="楷体_GB2312" w:hAnsi="楷体_GB2312" w:eastAsia="楷体_GB2312"/>
          <w:b/>
          <w:sz w:val="32"/>
        </w:rPr>
        <w:t>（二）一般公共预算财政拨款支出决算结构情况</w:t>
      </w:r>
    </w:p>
    <w:p w14:paraId="5B28BCDC">
      <w:pPr>
        <w:spacing w:line="580" w:lineRule="exact"/>
        <w:ind w:firstLine="640"/>
        <w:jc w:val="both"/>
      </w:pPr>
      <w:r>
        <w:rPr>
          <w:rFonts w:ascii="仿宋_GB2312" w:hAnsi="仿宋_GB2312" w:eastAsia="仿宋_GB2312"/>
          <w:b w:val="0"/>
          <w:sz w:val="32"/>
        </w:rPr>
        <w:t>1.社会保障和就业支出(类)54.27万元,占4.17%。</w:t>
      </w:r>
    </w:p>
    <w:p w14:paraId="7D31379B">
      <w:pPr>
        <w:spacing w:line="580" w:lineRule="exact"/>
        <w:ind w:firstLine="640"/>
        <w:jc w:val="both"/>
      </w:pPr>
      <w:r>
        <w:rPr>
          <w:rFonts w:ascii="仿宋_GB2312" w:hAnsi="仿宋_GB2312" w:eastAsia="仿宋_GB2312"/>
          <w:b w:val="0"/>
          <w:sz w:val="32"/>
        </w:rPr>
        <w:t>2.卫生健康支出(类)19.37万元,占1.49%。</w:t>
      </w:r>
    </w:p>
    <w:p w14:paraId="28D15679">
      <w:pPr>
        <w:spacing w:line="580" w:lineRule="exact"/>
        <w:ind w:firstLine="640"/>
        <w:jc w:val="both"/>
      </w:pPr>
      <w:r>
        <w:rPr>
          <w:rFonts w:ascii="仿宋_GB2312" w:hAnsi="仿宋_GB2312" w:eastAsia="仿宋_GB2312"/>
          <w:b w:val="0"/>
          <w:sz w:val="32"/>
        </w:rPr>
        <w:t>3.住房保障支出(类)29.66万元,占2.28%。</w:t>
      </w:r>
    </w:p>
    <w:p w14:paraId="0C006CA3">
      <w:pPr>
        <w:spacing w:line="580" w:lineRule="exact"/>
        <w:ind w:firstLine="640"/>
        <w:jc w:val="both"/>
      </w:pPr>
      <w:r>
        <w:rPr>
          <w:rFonts w:ascii="仿宋_GB2312" w:hAnsi="仿宋_GB2312" w:eastAsia="仿宋_GB2312"/>
          <w:b w:val="0"/>
          <w:sz w:val="32"/>
        </w:rPr>
        <w:t>4.灾害防治及应急管理支出(类)1,198.30万元,占92.06%。</w:t>
      </w:r>
    </w:p>
    <w:p w14:paraId="07535B20">
      <w:pPr>
        <w:spacing w:line="640" w:lineRule="exact"/>
        <w:ind w:firstLine="640"/>
        <w:jc w:val="both"/>
        <w:outlineLvl w:val="3"/>
      </w:pPr>
      <w:r>
        <w:rPr>
          <w:rFonts w:ascii="楷体_GB2312" w:hAnsi="楷体_GB2312" w:eastAsia="楷体_GB2312"/>
          <w:b/>
          <w:sz w:val="32"/>
        </w:rPr>
        <w:t>（三）一般公共预算财政拨款支出决算具体情况</w:t>
      </w:r>
    </w:p>
    <w:p w14:paraId="0EB01E21">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1.一般公共服务支出(类)其他一般公共服务支出(款)其他一般公共服务支出(项):支出决算数为0.00万元，比上年决算减少1,513.86万元，下降100.00%,主要原因是：本年减少地方项目资金。</w:t>
      </w:r>
    </w:p>
    <w:p w14:paraId="0E57E11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36.18万元，比上年决算增加10.66万元，增长41.77%,主要原因是：本年在职人员增加，工资基数调增，养老缴费基数上涨，相应支出增加。</w:t>
      </w:r>
    </w:p>
    <w:p w14:paraId="5B586D1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18.09万元，比上年决算增加5.33万元，增长41.77%,主要原因是：本年在职人员增加，工资基数调增，职业年金缴费支出增加。</w:t>
      </w:r>
    </w:p>
    <w:p w14:paraId="0427DC6E">
      <w:pPr>
        <w:spacing w:line="580" w:lineRule="exact"/>
        <w:ind w:firstLine="640"/>
        <w:jc w:val="both"/>
      </w:pPr>
      <w:r>
        <w:rPr>
          <w:rFonts w:ascii="仿宋_GB2312" w:hAnsi="仿宋_GB2312" w:eastAsia="仿宋_GB2312"/>
          <w:b w:val="0"/>
          <w:sz w:val="32"/>
        </w:rPr>
        <w:t>4.卫生健康支出(类)行政事业单位医疗(款)事业单位医疗(项):支出决算数为18.09万元，比上年决算增加5.33万元，增长41.77%,主要原因是：本年在职人员增加，工资基数调增，单位医疗缴费基数上涨，相应支出增加。</w:t>
      </w:r>
    </w:p>
    <w:p w14:paraId="3F89AB26">
      <w:pPr>
        <w:spacing w:line="580" w:lineRule="exact"/>
        <w:ind w:firstLine="640"/>
        <w:jc w:val="both"/>
      </w:pPr>
      <w:r>
        <w:rPr>
          <w:rFonts w:ascii="仿宋_GB2312" w:hAnsi="仿宋_GB2312" w:eastAsia="仿宋_GB2312"/>
          <w:b w:val="0"/>
          <w:sz w:val="32"/>
        </w:rPr>
        <w:t>5.卫生健康支出(类)行政事业单位医疗(款)公务员医疗补助(项):支出决算数为1.13万元，比上年决算增加0.33万元，增长41.25%,主要原因是：本年在职人员增加，工资基数调增，单位医疗缴费基数上涨，相应支出增加。</w:t>
      </w:r>
    </w:p>
    <w:p w14:paraId="1A502626">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0.15万元，比上年决算增加0.01万元，增长7.14%,主要原因是：本年在职人员增加，工资基数调增，单位医疗缴费基数上涨，相应支出增加。</w:t>
      </w:r>
    </w:p>
    <w:p w14:paraId="615CA238">
      <w:pPr>
        <w:spacing w:line="580" w:lineRule="exact"/>
        <w:ind w:firstLine="640"/>
        <w:jc w:val="both"/>
      </w:pPr>
      <w:r>
        <w:rPr>
          <w:rFonts w:ascii="仿宋_GB2312" w:hAnsi="仿宋_GB2312" w:eastAsia="仿宋_GB2312"/>
          <w:b w:val="0"/>
          <w:sz w:val="32"/>
        </w:rPr>
        <w:t>7.住房保障支出(类)住房改革支出(款)住房公积金(项):支出决算数为29.66万元，比上年决算增加8.95万元，增长43.22%,主要原因是：本年在职人员增加，工资基数调增，住房公积金缴费基数上涨，相应支出增加。</w:t>
      </w:r>
    </w:p>
    <w:p w14:paraId="4855BB0F">
      <w:pPr>
        <w:spacing w:line="580" w:lineRule="exact"/>
        <w:ind w:firstLine="640"/>
        <w:jc w:val="both"/>
      </w:pPr>
      <w:r>
        <w:rPr>
          <w:rFonts w:ascii="仿宋_GB2312" w:hAnsi="仿宋_GB2312" w:eastAsia="仿宋_GB2312"/>
          <w:b w:val="0"/>
          <w:sz w:val="32"/>
        </w:rPr>
        <w:t>8.灾害防治及应急管理支出(类)消防救援事务(款)消防应急救援(项):支出决算数为1,198.30万元，比上年决算减少1,449.36万元，下降54.74%,主要原因是：本年减少地方项目资金-专用设备购置经费。</w:t>
      </w:r>
    </w:p>
    <w:p w14:paraId="6617243B">
      <w:pPr>
        <w:spacing w:line="640" w:lineRule="exact"/>
        <w:ind w:firstLine="640"/>
        <w:jc w:val="both"/>
        <w:outlineLvl w:val="2"/>
      </w:pPr>
      <w:r>
        <w:rPr>
          <w:rFonts w:ascii="黑体" w:hAnsi="黑体" w:eastAsia="黑体"/>
          <w:sz w:val="32"/>
        </w:rPr>
        <w:t>六、一般公共预算财政拨款基本支出决算情况说明</w:t>
      </w:r>
    </w:p>
    <w:p w14:paraId="69676CC0">
      <w:pPr>
        <w:spacing w:line="580" w:lineRule="exact"/>
        <w:ind w:firstLine="640"/>
        <w:jc w:val="both"/>
      </w:pPr>
      <w:r>
        <w:rPr>
          <w:rFonts w:ascii="仿宋_GB2312" w:hAnsi="仿宋_GB2312" w:eastAsia="仿宋_GB2312"/>
          <w:b w:val="0"/>
          <w:sz w:val="32"/>
        </w:rPr>
        <w:t>2024年度一般公共预算财政拨款基本支出580.60万元，其中：</w:t>
      </w:r>
      <w:r>
        <w:rPr>
          <w:rFonts w:ascii="仿宋_GB2312" w:hAnsi="仿宋_GB2312" w:eastAsia="仿宋_GB2312"/>
          <w:b/>
          <w:sz w:val="32"/>
        </w:rPr>
        <w:t>人员经费470.63万元，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7AF37759">
      <w:pPr>
        <w:spacing w:line="580" w:lineRule="exact"/>
        <w:ind w:firstLine="640"/>
        <w:jc w:val="both"/>
      </w:pPr>
      <w:r>
        <w:rPr>
          <w:rFonts w:ascii="仿宋_GB2312" w:hAnsi="仿宋_GB2312" w:eastAsia="仿宋_GB2312"/>
          <w:b/>
          <w:sz w:val="32"/>
        </w:rPr>
        <w:t>公用经费109.97万元，</w:t>
      </w:r>
      <w:r>
        <w:rPr>
          <w:rFonts w:ascii="仿宋_GB2312" w:hAnsi="仿宋_GB2312" w:eastAsia="仿宋_GB2312"/>
          <w:b w:val="0"/>
          <w:sz w:val="32"/>
        </w:rPr>
        <w:t>包括：办公费、咨询费、水费、电费、邮电费、取暖费、维修（护）费、劳务费、委托业务费、工会经费、福利费、其他商品和服务支出。</w:t>
      </w:r>
    </w:p>
    <w:p w14:paraId="5D9878C2">
      <w:pPr>
        <w:spacing w:line="640" w:lineRule="exact"/>
        <w:ind w:firstLine="640"/>
        <w:jc w:val="both"/>
        <w:outlineLvl w:val="2"/>
      </w:pPr>
      <w:r>
        <w:rPr>
          <w:rFonts w:ascii="黑体" w:hAnsi="黑体" w:eastAsia="黑体"/>
          <w:sz w:val="32"/>
        </w:rPr>
        <w:t>七、政府性基金预算财政拨款收入支出决算情况说明</w:t>
      </w:r>
    </w:p>
    <w:p w14:paraId="55A2223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7D29BB6">
      <w:pPr>
        <w:spacing w:line="640" w:lineRule="exact"/>
        <w:ind w:firstLine="640"/>
        <w:jc w:val="both"/>
        <w:outlineLvl w:val="2"/>
      </w:pPr>
      <w:r>
        <w:rPr>
          <w:rFonts w:ascii="黑体" w:hAnsi="黑体" w:eastAsia="黑体"/>
          <w:sz w:val="32"/>
        </w:rPr>
        <w:t>八、国有资本经营预算财政拨款收入支出决算情况说明</w:t>
      </w:r>
    </w:p>
    <w:p w14:paraId="6B05C55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25A1CD1">
      <w:pPr>
        <w:spacing w:line="640" w:lineRule="exact"/>
        <w:ind w:firstLine="640"/>
        <w:jc w:val="both"/>
        <w:outlineLvl w:val="2"/>
      </w:pPr>
      <w:r>
        <w:rPr>
          <w:rFonts w:ascii="黑体" w:hAnsi="黑体" w:eastAsia="黑体"/>
          <w:sz w:val="32"/>
        </w:rPr>
        <w:t>九、财政拨款“三公”经费支出决算情况说明</w:t>
      </w:r>
    </w:p>
    <w:p w14:paraId="198BAEA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70FEB70">
      <w:pPr>
        <w:spacing w:line="580" w:lineRule="exact"/>
        <w:ind w:firstLine="640"/>
        <w:jc w:val="both"/>
      </w:pPr>
      <w:r>
        <w:rPr>
          <w:rFonts w:ascii="仿宋_GB2312" w:hAnsi="仿宋_GB2312" w:eastAsia="仿宋_GB2312"/>
          <w:b/>
          <w:sz w:val="32"/>
        </w:rPr>
        <w:t>具体情况如下：</w:t>
      </w:r>
    </w:p>
    <w:p w14:paraId="1AF81EB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3DA4BE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r>
        <w:rPr>
          <w:rFonts w:ascii="仿宋_GB2312" w:hAnsi="仿宋_GB2312" w:eastAsia="仿宋_GB2312"/>
          <w:b w:val="0"/>
          <w:spacing w:val="-6"/>
          <w:sz w:val="32"/>
        </w:rPr>
        <w:t>车辆0辆，与公务用车保有量差异原因是：本单位无固定资产车辆。</w:t>
      </w:r>
    </w:p>
    <w:p w14:paraId="69E73FD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4120B9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D003089">
      <w:pPr>
        <w:spacing w:line="640" w:lineRule="exact"/>
        <w:ind w:firstLine="640"/>
        <w:jc w:val="both"/>
        <w:outlineLvl w:val="2"/>
      </w:pPr>
      <w:r>
        <w:rPr>
          <w:rFonts w:ascii="黑体" w:hAnsi="黑体" w:eastAsia="黑体"/>
          <w:sz w:val="32"/>
        </w:rPr>
        <w:t>十、其他重要事项的情况说明</w:t>
      </w:r>
    </w:p>
    <w:p w14:paraId="7EE85C6A">
      <w:pPr>
        <w:spacing w:line="640" w:lineRule="exact"/>
        <w:ind w:firstLine="640"/>
        <w:jc w:val="both"/>
        <w:outlineLvl w:val="3"/>
      </w:pPr>
      <w:r>
        <w:rPr>
          <w:rFonts w:ascii="楷体_GB2312" w:hAnsi="楷体_GB2312" w:eastAsia="楷体_GB2312"/>
          <w:b/>
          <w:sz w:val="32"/>
        </w:rPr>
        <w:t>（一）机关运行经费及公用经费支出情况</w:t>
      </w:r>
    </w:p>
    <w:p w14:paraId="7DF39CD2">
      <w:pPr>
        <w:spacing w:line="580" w:lineRule="exact"/>
        <w:ind w:firstLine="640"/>
        <w:jc w:val="both"/>
      </w:pPr>
      <w:r>
        <w:rPr>
          <w:rFonts w:ascii="仿宋_GB2312" w:hAnsi="仿宋_GB2312" w:eastAsia="仿宋_GB2312"/>
          <w:b w:val="0"/>
          <w:sz w:val="32"/>
        </w:rPr>
        <w:t>2024年度昌吉州消防支队（事业单位）公用经费支出109.97万元，比上年减少41.24万元，下降27.27%，主要原因是：本年减少办公费、印刷费等公用经费。</w:t>
      </w:r>
    </w:p>
    <w:p w14:paraId="3C1378B7">
      <w:pPr>
        <w:spacing w:line="640" w:lineRule="exact"/>
        <w:ind w:firstLine="640"/>
        <w:jc w:val="both"/>
        <w:outlineLvl w:val="3"/>
      </w:pPr>
      <w:r>
        <w:rPr>
          <w:rFonts w:ascii="楷体_GB2312" w:hAnsi="楷体_GB2312" w:eastAsia="楷体_GB2312"/>
          <w:b/>
          <w:sz w:val="32"/>
        </w:rPr>
        <w:t>（二）政府采购情况</w:t>
      </w:r>
    </w:p>
    <w:p w14:paraId="5514363F">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562184CE">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75F347D0">
      <w:pPr>
        <w:spacing w:line="640" w:lineRule="exact"/>
        <w:ind w:firstLine="640"/>
        <w:jc w:val="both"/>
        <w:outlineLvl w:val="3"/>
      </w:pPr>
      <w:r>
        <w:rPr>
          <w:rFonts w:ascii="楷体_GB2312" w:hAnsi="楷体_GB2312" w:eastAsia="楷体_GB2312"/>
          <w:b/>
          <w:sz w:val="32"/>
        </w:rPr>
        <w:t>（三）国有资产占用情况说明</w:t>
      </w:r>
    </w:p>
    <w:p w14:paraId="2224983D">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392BCDB4">
      <w:pPr>
        <w:spacing w:line="640" w:lineRule="exact"/>
        <w:ind w:firstLine="640"/>
        <w:jc w:val="both"/>
        <w:outlineLvl w:val="2"/>
      </w:pPr>
      <w:r>
        <w:rPr>
          <w:rFonts w:ascii="黑体" w:hAnsi="黑体" w:eastAsia="黑体"/>
          <w:sz w:val="32"/>
        </w:rPr>
        <w:t>十一、预算绩效的情况说明</w:t>
      </w:r>
    </w:p>
    <w:p w14:paraId="63567F6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根据预算绩效管理要求，本单位2024年度预算绩效管理形成整体支出绩效自评表1个，全年预算总额1,311.60万元，实际执行总额1,301.60万元；预算绩效评价项目5个，全年预算数721</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万元，全年执行数721</w:t>
      </w:r>
      <w:r>
        <w:rPr>
          <w:rFonts w:hint="eastAsia" w:ascii="仿宋_GB2312" w:hAnsi="仿宋_GB2312" w:eastAsia="仿宋_GB2312"/>
          <w:b w:val="0"/>
          <w:sz w:val="32"/>
          <w:lang w:val="en-US" w:eastAsia="zh-CN"/>
        </w:rPr>
        <w:t>.00</w:t>
      </w:r>
      <w:r>
        <w:rPr>
          <w:rFonts w:ascii="仿宋_GB2312" w:hAnsi="仿宋_GB2312" w:eastAsia="仿宋_GB2312"/>
          <w:b w:val="0"/>
          <w:sz w:val="32"/>
        </w:rPr>
        <w:t>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绩效项目不予公开。发现的问题及原因：</w:t>
      </w:r>
      <w:r>
        <w:rPr>
          <w:rFonts w:hint="eastAsia" w:ascii="仿宋_GB2312" w:hAnsi="仿宋_GB2312" w:eastAsia="仿宋_GB2312"/>
          <w:b w:val="0"/>
          <w:sz w:val="32"/>
          <w:lang w:eastAsia="zh-CN"/>
        </w:rPr>
        <w:t>本单位</w:t>
      </w:r>
      <w:r>
        <w:rPr>
          <w:rFonts w:ascii="仿宋_GB2312" w:hAnsi="仿宋_GB2312" w:eastAsia="仿宋_GB2312"/>
          <w:b w:val="0"/>
          <w:sz w:val="32"/>
        </w:rPr>
        <w:t>绩效项目不予公开。下一步改进措施：</w:t>
      </w:r>
      <w:r>
        <w:rPr>
          <w:rFonts w:hint="eastAsia" w:ascii="仿宋_GB2312" w:hAnsi="仿宋_GB2312" w:eastAsia="仿宋_GB2312"/>
          <w:b w:val="0"/>
          <w:sz w:val="32"/>
          <w:lang w:eastAsia="zh-CN"/>
        </w:rPr>
        <w:t>本单位</w:t>
      </w:r>
      <w:r>
        <w:rPr>
          <w:rFonts w:ascii="仿宋_GB2312" w:hAnsi="仿宋_GB2312" w:eastAsia="仿宋_GB2312"/>
          <w:b w:val="0"/>
          <w:sz w:val="32"/>
        </w:rPr>
        <w:t>绩效项目不予公开。具体附整体支出绩效自评表。</w:t>
      </w:r>
    </w:p>
    <w:p w14:paraId="676CDA6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635EFA4">
        <w:tblPrEx>
          <w:tblCellMar>
            <w:top w:w="0" w:type="dxa"/>
            <w:left w:w="108" w:type="dxa"/>
            <w:bottom w:w="0" w:type="dxa"/>
            <w:right w:w="108" w:type="dxa"/>
          </w:tblCellMar>
        </w:tblPrEx>
        <w:tc>
          <w:tcPr>
            <w:tcW w:w="8847" w:type="dxa"/>
            <w:gridSpan w:val="9"/>
            <w:vAlign w:val="center"/>
          </w:tcPr>
          <w:p w14:paraId="3D327874">
            <w:pPr>
              <w:jc w:val="center"/>
            </w:pPr>
            <w:r>
              <w:rPr>
                <w:rFonts w:ascii="宋体" w:hAnsi="宋体" w:eastAsia="宋体"/>
                <w:sz w:val="24"/>
              </w:rPr>
              <w:t>单位整体支出绩效自评表</w:t>
            </w:r>
          </w:p>
        </w:tc>
      </w:tr>
      <w:tr w14:paraId="7044F688">
        <w:tblPrEx>
          <w:tblCellMar>
            <w:top w:w="0" w:type="dxa"/>
            <w:left w:w="108" w:type="dxa"/>
            <w:bottom w:w="0" w:type="dxa"/>
            <w:right w:w="108" w:type="dxa"/>
          </w:tblCellMar>
        </w:tblPrEx>
        <w:tc>
          <w:tcPr>
            <w:tcW w:w="8847" w:type="dxa"/>
            <w:gridSpan w:val="9"/>
            <w:vAlign w:val="center"/>
          </w:tcPr>
          <w:p w14:paraId="4A035AED">
            <w:pPr>
              <w:jc w:val="center"/>
            </w:pPr>
            <w:r>
              <w:rPr>
                <w:rFonts w:ascii="宋体" w:hAnsi="宋体" w:eastAsia="宋体"/>
                <w:sz w:val="24"/>
              </w:rPr>
              <w:t>（2024年度）</w:t>
            </w:r>
          </w:p>
        </w:tc>
      </w:tr>
      <w:tr w14:paraId="3943E17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1A03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57969C">
            <w:pPr>
              <w:jc w:val="center"/>
            </w:pPr>
            <w:r>
              <w:rPr>
                <w:rFonts w:ascii="宋体" w:hAnsi="宋体" w:eastAsia="宋体"/>
                <w:sz w:val="16"/>
              </w:rPr>
              <w:t>昌吉州消防支队</w:t>
            </w:r>
          </w:p>
        </w:tc>
      </w:tr>
      <w:tr w14:paraId="0004CC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A16A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700C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F81C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3AEA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F349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66A1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1FE0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9617C">
            <w:pPr>
              <w:jc w:val="center"/>
            </w:pPr>
            <w:r>
              <w:rPr>
                <w:rFonts w:ascii="宋体" w:hAnsi="宋体" w:eastAsia="宋体"/>
                <w:sz w:val="16"/>
              </w:rPr>
              <w:t>得分</w:t>
            </w:r>
          </w:p>
        </w:tc>
      </w:tr>
      <w:tr w14:paraId="7B838A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1D54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0B93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463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0C6A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962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CD6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2E6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11C41">
            <w:pPr>
              <w:jc w:val="center"/>
            </w:pPr>
            <w:r>
              <w:rPr>
                <w:rFonts w:ascii="宋体" w:hAnsi="宋体" w:eastAsia="宋体"/>
                <w:sz w:val="16"/>
              </w:rPr>
              <w:t>-</w:t>
            </w:r>
          </w:p>
        </w:tc>
      </w:tr>
      <w:tr w14:paraId="153D2F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7DE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E46DC">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A8E9D">
            <w:pPr>
              <w:jc w:val="center"/>
            </w:pPr>
            <w:r>
              <w:rPr>
                <w:rFonts w:ascii="宋体" w:hAnsi="宋体" w:eastAsia="宋体"/>
                <w:sz w:val="16"/>
              </w:rPr>
              <w:t>1,311.60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3018A">
            <w:pPr>
              <w:jc w:val="center"/>
            </w:pPr>
            <w:r>
              <w:rPr>
                <w:rFonts w:ascii="宋体" w:hAnsi="宋体" w:eastAsia="宋体"/>
                <w:sz w:val="16"/>
              </w:rPr>
              <w:t>1,311.60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E6196">
            <w:pPr>
              <w:jc w:val="center"/>
            </w:pPr>
            <w:r>
              <w:rPr>
                <w:rFonts w:ascii="宋体" w:hAnsi="宋体" w:eastAsia="宋体"/>
                <w:sz w:val="16"/>
              </w:rPr>
              <w:t>1,301.60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DEF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23D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83225">
            <w:pPr>
              <w:jc w:val="center"/>
            </w:pPr>
            <w:r>
              <w:rPr>
                <w:rFonts w:ascii="宋体" w:hAnsi="宋体" w:eastAsia="宋体"/>
                <w:sz w:val="16"/>
              </w:rPr>
              <w:t>-</w:t>
            </w:r>
          </w:p>
        </w:tc>
      </w:tr>
      <w:tr w14:paraId="0A66AA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411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05428">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08A5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0E2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1F1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34C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1DB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0EF89">
            <w:pPr>
              <w:jc w:val="center"/>
            </w:pPr>
            <w:r>
              <w:rPr>
                <w:rFonts w:ascii="宋体" w:hAnsi="宋体" w:eastAsia="宋体"/>
                <w:sz w:val="16"/>
              </w:rPr>
              <w:t>-</w:t>
            </w:r>
          </w:p>
        </w:tc>
      </w:tr>
      <w:tr w14:paraId="2771C8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EE8A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4213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49DF0">
            <w:pPr>
              <w:jc w:val="center"/>
            </w:pPr>
            <w:r>
              <w:rPr>
                <w:rFonts w:ascii="宋体" w:hAnsi="宋体" w:eastAsia="宋体"/>
                <w:sz w:val="16"/>
              </w:rPr>
              <w:t>1,311.60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F4F6F">
            <w:pPr>
              <w:jc w:val="center"/>
            </w:pPr>
            <w:r>
              <w:rPr>
                <w:rFonts w:ascii="宋体" w:hAnsi="宋体" w:eastAsia="宋体"/>
                <w:sz w:val="16"/>
              </w:rPr>
              <w:t>1,311.60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3CB8D">
            <w:pPr>
              <w:jc w:val="center"/>
            </w:pPr>
            <w:r>
              <w:rPr>
                <w:rFonts w:ascii="宋体" w:hAnsi="宋体" w:eastAsia="宋体"/>
                <w:sz w:val="16"/>
              </w:rPr>
              <w:t>1,301.60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92E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30635">
            <w:pPr>
              <w:jc w:val="center"/>
            </w:pPr>
            <w:r>
              <w:rPr>
                <w:rFonts w:ascii="宋体" w:hAnsi="宋体" w:eastAsia="宋体"/>
                <w:sz w:val="16"/>
              </w:rPr>
              <w:t>99.24%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DAB4A">
            <w:pPr>
              <w:jc w:val="center"/>
            </w:pPr>
            <w:r>
              <w:rPr>
                <w:rFonts w:ascii="宋体" w:hAnsi="宋体" w:eastAsia="宋体"/>
                <w:sz w:val="16"/>
              </w:rPr>
              <w:t>9.92</w:t>
            </w:r>
          </w:p>
        </w:tc>
      </w:tr>
      <w:tr w14:paraId="2A4E1E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11BF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C90FD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98F77B">
            <w:pPr>
              <w:jc w:val="center"/>
            </w:pPr>
            <w:r>
              <w:rPr>
                <w:rFonts w:ascii="宋体" w:hAnsi="宋体" w:eastAsia="宋体"/>
                <w:sz w:val="16"/>
              </w:rPr>
              <w:t>实际完成情况</w:t>
            </w:r>
          </w:p>
        </w:tc>
      </w:tr>
      <w:tr w14:paraId="25DAE3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80AD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03A8BE">
            <w:pPr>
              <w:jc w:val="both"/>
            </w:pPr>
            <w:r>
              <w:rPr>
                <w:rFonts w:ascii="宋体" w:hAnsi="宋体" w:eastAsia="宋体"/>
                <w:sz w:val="16"/>
              </w:rPr>
              <w:t>昌吉州消防救援支队坚持以习近平新时代中国特色社会主义思想为指导，全面贯彻落实党的二十大精神</w:t>
            </w:r>
            <w:r>
              <w:rPr>
                <w:rFonts w:hint="eastAsia" w:ascii="宋体" w:hAnsi="宋体"/>
                <w:sz w:val="16"/>
                <w:lang w:eastAsia="zh-CN"/>
              </w:rPr>
              <w:t>，</w:t>
            </w:r>
            <w:r>
              <w:rPr>
                <w:rFonts w:ascii="宋体" w:hAnsi="宋体" w:eastAsia="宋体"/>
                <w:sz w:val="16"/>
              </w:rPr>
              <w:t>贯彻落实中央经济工作会议精神，贯彻落实习近平总书记视察新疆重要讲话</w:t>
            </w:r>
            <w:r>
              <w:rPr>
                <w:rFonts w:hint="eastAsia" w:ascii="宋体" w:hAnsi="宋体"/>
                <w:sz w:val="16"/>
                <w:lang w:eastAsia="zh-CN"/>
              </w:rPr>
              <w:t>指示精神</w:t>
            </w:r>
            <w:r>
              <w:rPr>
                <w:rFonts w:ascii="宋体" w:hAnsi="宋体" w:eastAsia="宋体"/>
                <w:sz w:val="16"/>
              </w:rPr>
              <w:t>，贯彻落实中央经济工作会议和第三次中央新疆工作座谈会精神，贯彻落实新时代党的治疆方略，贯彻落实自治区党委十届三次、五次、六次、七次全会精神，弘扬伟大建党精神，巩固</w:t>
            </w:r>
            <w:r>
              <w:rPr>
                <w:rFonts w:hint="eastAsia" w:ascii="宋体" w:hAnsi="宋体"/>
                <w:sz w:val="16"/>
                <w:lang w:eastAsia="zh-CN"/>
              </w:rPr>
              <w:t>党史学习教育</w:t>
            </w:r>
            <w:r>
              <w:rPr>
                <w:rFonts w:ascii="宋体" w:hAnsi="宋体" w:eastAsia="宋体"/>
                <w:sz w:val="16"/>
              </w:rPr>
              <w:t>成效，坚持稳中求进工作总基调，完整准确全面贯彻新发展理念，在自治区消防救援总队党委、昌吉州党委、州政府的坚强领导下，围绕中心、服务大局、做好思想发动、严格内部管控、强化执勤战备，消除火灾隐患，主动作为，压实责任，保障全州人民群众和公共财产安全，为奋力开展新疆社会稳定和长治久安新局面做出新贡献。预期目标，将火灾隐患在全州范围内控制到最低。</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493A86">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全年预算数为1311.60万元，全年执行数为1301.6万元，总预算执行率为99.24%。2024年</w:t>
            </w:r>
            <w:r>
              <w:rPr>
                <w:rFonts w:hint="eastAsia" w:ascii="宋体" w:hAnsi="宋体"/>
                <w:sz w:val="16"/>
                <w:lang w:eastAsia="zh-CN"/>
              </w:rPr>
              <w:t>本单位</w:t>
            </w:r>
            <w:r>
              <w:rPr>
                <w:rFonts w:ascii="宋体" w:hAnsi="宋体" w:eastAsia="宋体"/>
                <w:sz w:val="16"/>
              </w:rPr>
              <w:t>完成以下工作内容：一是加强消防装备建设。支队“自然灾害应急能力提升工程”装备配备项目，总投资9500万元（其中：国债资金7600万元，地方投资1900万元），项目共计采购车辆22辆、装备13025件/套，中标金额8704.85万元，结余资金795.15万元，资金结余率为8.37%。其中一批次项目经公开招标采购消防车辆22辆，装备器材7016件（套），合同金额共6796.234万元，项目结余资金2703.77万元，完成合同签订34份；二次项目完成装备器材采购6009件/套，中标金额1908.61万元，结余资金795.07万元。二是着力夯实基层基础。年内续建5个建设项目：昌吉市大队综合训练室、</w:t>
            </w:r>
            <w:r>
              <w:rPr>
                <w:rFonts w:hint="eastAsia" w:ascii="宋体" w:hAnsi="宋体"/>
                <w:sz w:val="16"/>
                <w:lang w:eastAsia="zh-CN"/>
              </w:rPr>
              <w:t>木垒哈萨克自治县</w:t>
            </w:r>
            <w:r>
              <w:rPr>
                <w:rFonts w:ascii="宋体" w:hAnsi="宋体" w:eastAsia="宋体"/>
                <w:sz w:val="16"/>
              </w:rPr>
              <w:t>大队综合训练室、玛纳斯县幸福路二级消防站现已完成主体建设，正在开展装修安装工作，奇台县卡拉麦里西街消防站、吉木萨尔县东区消防站已完成竣工验收；新建2个建设项目：昌吉国家农业高新技术产业示范区精深加工示范区二级消防站综合训练室现处于主体工程阶段、准东经济技术开发区国家级煤化工事故处置实战实训基地建设项目前期手续已基本办理完毕，现处于采购组织阶段。三是提升经费保障水平。2024年全州纳入地方财政预算6715.4万元，截至目前，经费到账6896.27万元，为全州消防救援事业高质量发展奠定了坚实基础。</w:t>
            </w:r>
          </w:p>
        </w:tc>
      </w:tr>
      <w:tr w14:paraId="1D7889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9783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41A0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9536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0787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93E5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D10E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1AAB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E7CB6">
            <w:pPr>
              <w:jc w:val="center"/>
            </w:pPr>
            <w:r>
              <w:rPr>
                <w:rFonts w:ascii="宋体" w:hAnsi="宋体" w:eastAsia="宋体"/>
                <w:sz w:val="16"/>
              </w:rPr>
              <w:t>得分</w:t>
            </w:r>
          </w:p>
        </w:tc>
      </w:tr>
      <w:tr w14:paraId="0FD4FF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0AC7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551F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DFD60">
            <w:pPr>
              <w:jc w:val="center"/>
            </w:pPr>
            <w:r>
              <w:rPr>
                <w:rFonts w:ascii="宋体" w:hAnsi="宋体" w:eastAsia="宋体"/>
                <w:sz w:val="16"/>
              </w:rPr>
              <w:t>消防灭火救援及监督检查任务量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8CDFC">
            <w:pPr>
              <w:jc w:val="center"/>
            </w:pPr>
            <w:r>
              <w:rPr>
                <w:rFonts w:ascii="宋体" w:hAnsi="宋体" w:eastAsia="宋体"/>
                <w:sz w:val="16"/>
              </w:rPr>
              <w:t>&gt;=10000次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E0B8F">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4568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1B3E8">
            <w:pPr>
              <w:jc w:val="center"/>
            </w:pPr>
            <w:r>
              <w:rPr>
                <w:rFonts w:ascii="宋体" w:hAnsi="宋体" w:eastAsia="宋体"/>
                <w:sz w:val="16"/>
              </w:rPr>
              <w:t>12445次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A4A9D">
            <w:pPr>
              <w:jc w:val="center"/>
            </w:pPr>
            <w:r>
              <w:rPr>
                <w:rFonts w:ascii="宋体" w:hAnsi="宋体" w:eastAsia="宋体"/>
                <w:sz w:val="16"/>
              </w:rPr>
              <w:t>30</w:t>
            </w:r>
          </w:p>
        </w:tc>
      </w:tr>
      <w:tr w14:paraId="4528CB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8063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130F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CCB4E">
            <w:pPr>
              <w:jc w:val="center"/>
            </w:pPr>
            <w:r>
              <w:rPr>
                <w:rFonts w:ascii="宋体" w:hAnsi="宋体" w:eastAsia="宋体"/>
                <w:sz w:val="16"/>
              </w:rPr>
              <w:t>“三化”达标验收单位次数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9CABE">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869B6">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1140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B5C6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C07B9">
            <w:pPr>
              <w:jc w:val="center"/>
            </w:pPr>
            <w:r>
              <w:rPr>
                <w:rFonts w:ascii="宋体" w:hAnsi="宋体" w:eastAsia="宋体"/>
                <w:sz w:val="16"/>
              </w:rPr>
              <w:t>20</w:t>
            </w:r>
          </w:p>
        </w:tc>
      </w:tr>
      <w:tr w14:paraId="62F48D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EDE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014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7AE12">
            <w:pPr>
              <w:jc w:val="center"/>
            </w:pPr>
            <w:r>
              <w:rPr>
                <w:rFonts w:ascii="宋体" w:hAnsi="宋体" w:eastAsia="宋体"/>
                <w:sz w:val="16"/>
              </w:rPr>
              <w:t>火灾隐患举报投诉奖励个人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8FAA5">
            <w:pPr>
              <w:jc w:val="center"/>
            </w:pPr>
            <w:r>
              <w:rPr>
                <w:rFonts w:ascii="宋体" w:hAnsi="宋体" w:eastAsia="宋体"/>
                <w:sz w:val="16"/>
              </w:rPr>
              <w:t>&gt;=3人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02DFE">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66F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A7A9C">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684CD">
            <w:pPr>
              <w:jc w:val="center"/>
            </w:pPr>
            <w:r>
              <w:rPr>
                <w:rFonts w:ascii="宋体" w:hAnsi="宋体" w:eastAsia="宋体"/>
                <w:sz w:val="16"/>
              </w:rPr>
              <w:t>10</w:t>
            </w:r>
          </w:p>
        </w:tc>
      </w:tr>
      <w:tr w14:paraId="19915E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A6E8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CEA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D39E2">
            <w:pPr>
              <w:jc w:val="center"/>
            </w:pPr>
            <w:r>
              <w:rPr>
                <w:rFonts w:ascii="宋体" w:hAnsi="宋体" w:eastAsia="宋体"/>
                <w:sz w:val="16"/>
              </w:rPr>
              <w:t>支队年度全体人员体能考核次数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3CC9B">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BF8FD">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821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AA86D">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825B9">
            <w:pPr>
              <w:jc w:val="center"/>
            </w:pPr>
            <w:r>
              <w:rPr>
                <w:rFonts w:ascii="宋体" w:hAnsi="宋体" w:eastAsia="宋体"/>
                <w:sz w:val="16"/>
              </w:rPr>
              <w:t>10</w:t>
            </w:r>
          </w:p>
        </w:tc>
      </w:tr>
      <w:tr w14:paraId="3FEA98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22D0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D57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3BE79">
            <w:pPr>
              <w:jc w:val="center"/>
            </w:pPr>
            <w:r>
              <w:rPr>
                <w:rFonts w:ascii="宋体" w:hAnsi="宋体" w:eastAsia="宋体"/>
                <w:sz w:val="16"/>
              </w:rPr>
              <w:t>开展基层指战员理论培训次数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AC6D4">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FA7FA">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BDE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13D72">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BC083">
            <w:pPr>
              <w:jc w:val="center"/>
            </w:pPr>
            <w:r>
              <w:rPr>
                <w:rFonts w:ascii="宋体" w:hAnsi="宋体" w:eastAsia="宋体"/>
                <w:sz w:val="16"/>
              </w:rPr>
              <w:t>10</w:t>
            </w:r>
          </w:p>
        </w:tc>
      </w:tr>
      <w:tr w14:paraId="7A5A27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98A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967B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A2254">
            <w:pPr>
              <w:jc w:val="center"/>
            </w:pPr>
            <w:r>
              <w:rPr>
                <w:rFonts w:ascii="宋体" w:hAnsi="宋体" w:eastAsia="宋体"/>
                <w:sz w:val="16"/>
              </w:rPr>
              <w:t>全州执勤车辆维护保养次数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02903">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60B10">
            <w:pPr>
              <w:jc w:val="center"/>
            </w:pPr>
            <w:r>
              <w:rPr>
                <w:rFonts w:ascii="宋体" w:hAnsi="宋体" w:eastAsia="宋体"/>
                <w:sz w:val="16"/>
              </w:rPr>
              <w:t>昌吉州消防救援支队2024年工作要点1.26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47D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1D65F">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52300">
            <w:pPr>
              <w:jc w:val="center"/>
            </w:pPr>
            <w:r>
              <w:rPr>
                <w:rFonts w:ascii="宋体" w:hAnsi="宋体" w:eastAsia="宋体"/>
                <w:sz w:val="16"/>
              </w:rPr>
              <w:t>10</w:t>
            </w:r>
          </w:p>
        </w:tc>
      </w:tr>
    </w:tbl>
    <w:p w14:paraId="0C493899">
      <w:r>
        <w:br w:type="page"/>
      </w:r>
    </w:p>
    <w:p w14:paraId="44DAC1AC">
      <w:pPr>
        <w:spacing w:line="640" w:lineRule="exact"/>
        <w:ind w:firstLine="640"/>
        <w:jc w:val="both"/>
        <w:outlineLvl w:val="2"/>
      </w:pPr>
      <w:r>
        <w:rPr>
          <w:rFonts w:ascii="黑体" w:hAnsi="黑体" w:eastAsia="黑体"/>
          <w:sz w:val="32"/>
        </w:rPr>
        <w:t>十二、其他需说明的事项</w:t>
      </w:r>
    </w:p>
    <w:p w14:paraId="1FE07FC0">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D761EF3">
      <w:pPr>
        <w:spacing w:line="580" w:lineRule="exact"/>
        <w:ind w:firstLine="640"/>
        <w:jc w:val="both"/>
      </w:pPr>
      <w:r>
        <w:rPr>
          <w:rFonts w:ascii="仿宋_GB2312" w:hAnsi="仿宋_GB2312" w:eastAsia="仿宋_GB2312"/>
          <w:b w:val="0"/>
          <w:sz w:val="32"/>
        </w:rPr>
        <w:t>本年本单位不予公开项目5个，全年预算数721</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万元，全年执行数721</w:t>
      </w:r>
      <w:r>
        <w:rPr>
          <w:rFonts w:hint="eastAsia" w:ascii="仿宋_GB2312" w:hAnsi="仿宋_GB2312" w:eastAsia="仿宋_GB2312"/>
          <w:b w:val="0"/>
          <w:sz w:val="32"/>
          <w:lang w:val="en-US" w:eastAsia="zh-CN"/>
        </w:rPr>
        <w:t>.00</w:t>
      </w:r>
      <w:r>
        <w:rPr>
          <w:rFonts w:ascii="仿宋_GB2312" w:hAnsi="仿宋_GB2312" w:eastAsia="仿宋_GB2312"/>
          <w:b w:val="0"/>
          <w:sz w:val="32"/>
        </w:rPr>
        <w:t>万元。</w:t>
      </w:r>
    </w:p>
    <w:p w14:paraId="0778F866">
      <w:r>
        <w:br w:type="page"/>
      </w:r>
    </w:p>
    <w:p w14:paraId="38D5D670">
      <w:pPr>
        <w:spacing w:line="240" w:lineRule="auto"/>
        <w:jc w:val="center"/>
        <w:outlineLvl w:val="1"/>
      </w:pPr>
      <w:r>
        <w:rPr>
          <w:rFonts w:ascii="黑体" w:hAnsi="黑体" w:eastAsia="黑体"/>
          <w:sz w:val="32"/>
        </w:rPr>
        <w:t>第三部分 专业名词解释</w:t>
      </w:r>
    </w:p>
    <w:p w14:paraId="60C9154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EA13E6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402214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9B5B4A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4BB9C9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AB8877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AD1E6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79F8E9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8D535D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94CC4D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6CFCFF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542B5B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CF9DC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223933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6D4DE99">
      <w:r>
        <w:br w:type="page"/>
      </w:r>
    </w:p>
    <w:p w14:paraId="502E5FDB">
      <w:pPr>
        <w:spacing w:line="240" w:lineRule="auto"/>
        <w:jc w:val="center"/>
        <w:outlineLvl w:val="1"/>
      </w:pPr>
      <w:r>
        <w:rPr>
          <w:rFonts w:ascii="黑体" w:hAnsi="黑体" w:eastAsia="黑体"/>
          <w:sz w:val="32"/>
        </w:rPr>
        <w:t>第四部分 部门决算报表（见附表）</w:t>
      </w:r>
    </w:p>
    <w:p w14:paraId="70A62AB6">
      <w:pPr>
        <w:spacing w:line="240" w:lineRule="auto"/>
        <w:ind w:firstLine="640"/>
        <w:jc w:val="both"/>
      </w:pPr>
      <w:r>
        <w:rPr>
          <w:rFonts w:ascii="仿宋_GB2312" w:hAnsi="仿宋_GB2312" w:eastAsia="仿宋_GB2312"/>
          <w:b w:val="0"/>
          <w:sz w:val="32"/>
        </w:rPr>
        <w:t>一、《收入支出决算总表》</w:t>
      </w:r>
    </w:p>
    <w:p w14:paraId="371A9D8B">
      <w:pPr>
        <w:spacing w:line="240" w:lineRule="auto"/>
        <w:ind w:firstLine="640"/>
        <w:jc w:val="both"/>
      </w:pPr>
      <w:r>
        <w:rPr>
          <w:rFonts w:ascii="仿宋_GB2312" w:hAnsi="仿宋_GB2312" w:eastAsia="仿宋_GB2312"/>
          <w:b w:val="0"/>
          <w:sz w:val="32"/>
        </w:rPr>
        <w:t>二、《收入决算表》</w:t>
      </w:r>
    </w:p>
    <w:p w14:paraId="6E5167DA">
      <w:pPr>
        <w:spacing w:line="240" w:lineRule="auto"/>
        <w:ind w:firstLine="640"/>
        <w:jc w:val="both"/>
      </w:pPr>
      <w:r>
        <w:rPr>
          <w:rFonts w:ascii="仿宋_GB2312" w:hAnsi="仿宋_GB2312" w:eastAsia="仿宋_GB2312"/>
          <w:b w:val="0"/>
          <w:sz w:val="32"/>
        </w:rPr>
        <w:t>三、《支出决算表》</w:t>
      </w:r>
    </w:p>
    <w:p w14:paraId="6607904A">
      <w:pPr>
        <w:spacing w:line="240" w:lineRule="auto"/>
        <w:ind w:firstLine="640"/>
        <w:jc w:val="both"/>
      </w:pPr>
      <w:r>
        <w:rPr>
          <w:rFonts w:ascii="仿宋_GB2312" w:hAnsi="仿宋_GB2312" w:eastAsia="仿宋_GB2312"/>
          <w:b w:val="0"/>
          <w:sz w:val="32"/>
        </w:rPr>
        <w:t>四、《财政拨款收入支出决算总表》</w:t>
      </w:r>
    </w:p>
    <w:p w14:paraId="1F0FB8DF">
      <w:pPr>
        <w:spacing w:line="240" w:lineRule="auto"/>
        <w:ind w:firstLine="640"/>
        <w:jc w:val="both"/>
      </w:pPr>
      <w:r>
        <w:rPr>
          <w:rFonts w:ascii="仿宋_GB2312" w:hAnsi="仿宋_GB2312" w:eastAsia="仿宋_GB2312"/>
          <w:b w:val="0"/>
          <w:sz w:val="32"/>
        </w:rPr>
        <w:t>五、《一般公共预算财政拨款支出决算表》</w:t>
      </w:r>
    </w:p>
    <w:p w14:paraId="2E142FAC">
      <w:pPr>
        <w:spacing w:line="240" w:lineRule="auto"/>
        <w:ind w:firstLine="640"/>
        <w:jc w:val="both"/>
      </w:pPr>
      <w:r>
        <w:rPr>
          <w:rFonts w:ascii="仿宋_GB2312" w:hAnsi="仿宋_GB2312" w:eastAsia="仿宋_GB2312"/>
          <w:b w:val="0"/>
          <w:sz w:val="32"/>
        </w:rPr>
        <w:t>六、《一般公共预算财政拨款基本支出决算表》</w:t>
      </w:r>
    </w:p>
    <w:p w14:paraId="677A6DF9">
      <w:pPr>
        <w:spacing w:line="240" w:lineRule="auto"/>
        <w:ind w:firstLine="640"/>
        <w:jc w:val="both"/>
      </w:pPr>
      <w:r>
        <w:rPr>
          <w:rFonts w:ascii="仿宋_GB2312" w:hAnsi="仿宋_GB2312" w:eastAsia="仿宋_GB2312"/>
          <w:b w:val="0"/>
          <w:sz w:val="32"/>
        </w:rPr>
        <w:t>七、《政府性基金预算财政拨款收入支出决算表》</w:t>
      </w:r>
    </w:p>
    <w:p w14:paraId="601FF026">
      <w:pPr>
        <w:spacing w:line="240" w:lineRule="auto"/>
        <w:ind w:firstLine="640"/>
        <w:jc w:val="both"/>
      </w:pPr>
      <w:r>
        <w:rPr>
          <w:rFonts w:ascii="仿宋_GB2312" w:hAnsi="仿宋_GB2312" w:eastAsia="仿宋_GB2312"/>
          <w:b w:val="0"/>
          <w:sz w:val="32"/>
        </w:rPr>
        <w:t>八、《国有资本经营预算财政拨款收入支出决算表》</w:t>
      </w:r>
    </w:p>
    <w:p w14:paraId="17DDB91F">
      <w:pPr>
        <w:spacing w:line="240" w:lineRule="auto"/>
        <w:ind w:firstLine="640"/>
        <w:jc w:val="both"/>
      </w:pPr>
      <w:r>
        <w:rPr>
          <w:rFonts w:ascii="仿宋_GB2312" w:hAnsi="仿宋_GB2312" w:eastAsia="仿宋_GB2312"/>
          <w:b w:val="0"/>
          <w:sz w:val="32"/>
        </w:rPr>
        <w:t>九、《财政拨款“三公”经费支出决算表》</w:t>
      </w:r>
    </w:p>
    <w:p w14:paraId="3000A1F3">
      <w:pPr>
        <w:spacing w:line="240" w:lineRule="auto"/>
        <w:ind w:firstLine="640"/>
        <w:jc w:val="both"/>
      </w:pPr>
    </w:p>
    <w:p w14:paraId="6D669D3B">
      <w:pPr>
        <w:spacing w:line="240" w:lineRule="auto"/>
        <w:ind w:firstLine="640"/>
        <w:jc w:val="both"/>
      </w:pPr>
    </w:p>
    <w:p w14:paraId="7D8AAAF8">
      <w:pPr>
        <w:spacing w:line="240" w:lineRule="auto"/>
        <w:ind w:firstLine="640"/>
        <w:jc w:val="both"/>
      </w:pPr>
    </w:p>
    <w:p w14:paraId="18950589">
      <w:pPr>
        <w:spacing w:line="240" w:lineRule="auto"/>
        <w:ind w:firstLine="640"/>
        <w:jc w:val="both"/>
      </w:pPr>
    </w:p>
    <w:p w14:paraId="0CD3D8B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6700A41"/>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BF3783"/>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4267</Words>
  <Characters>4979</Characters>
  <Lines>0</Lines>
  <Paragraphs>0</Paragraphs>
  <TotalTime>3</TotalTime>
  <ScaleCrop>false</ScaleCrop>
  <LinksUpToDate>false</LinksUpToDate>
  <CharactersWithSpaces>4987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