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阜康市人民法院2024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38E9DA7">
      <w:r>
        <w:br w:type="page"/>
      </w:r>
    </w:p>
    <w:p w14:paraId="6C964923">
      <w:pPr>
        <w:spacing w:line="640" w:lineRule="exact"/>
        <w:jc w:val="center"/>
        <w:outlineLvl w:val="1"/>
      </w:pPr>
      <w:r>
        <w:rPr>
          <w:rFonts w:ascii="黑体" w:hAnsi="黑体" w:eastAsia="黑体"/>
          <w:sz w:val="32"/>
        </w:rPr>
        <w:t>第一部分 单位概况</w:t>
      </w:r>
    </w:p>
    <w:p w14:paraId="22B59624">
      <w:pPr>
        <w:spacing w:line="640" w:lineRule="exact"/>
        <w:ind w:firstLine="640"/>
        <w:jc w:val="both"/>
        <w:outlineLvl w:val="2"/>
      </w:pPr>
      <w:r>
        <w:rPr>
          <w:rFonts w:ascii="黑体" w:hAnsi="黑体" w:eastAsia="黑体"/>
          <w:sz w:val="32"/>
        </w:rPr>
        <w:t>一、主要职能</w:t>
      </w:r>
    </w:p>
    <w:p w14:paraId="08DA10BF">
      <w:pPr>
        <w:spacing w:line="580" w:lineRule="exact"/>
        <w:ind w:firstLine="640"/>
        <w:jc w:val="both"/>
      </w:pPr>
      <w:r>
        <w:rPr>
          <w:rFonts w:ascii="仿宋_GB2312" w:hAnsi="仿宋_GB2312" w:eastAsia="仿宋_GB2312"/>
          <w:sz w:val="32"/>
        </w:rPr>
        <w:t>（1）贯彻落实党中央和各级党委及上级法院制定的有关审判工作的路线、方针、政策，向当地</w:t>
      </w:r>
      <w:r>
        <w:rPr>
          <w:rFonts w:hint="eastAsia" w:ascii="仿宋_GB2312" w:hAnsi="仿宋_GB2312" w:eastAsia="仿宋_GB2312"/>
          <w:sz w:val="32"/>
          <w:lang w:eastAsia="zh-CN"/>
        </w:rPr>
        <w:t>人民代表大会常务委员会</w:t>
      </w:r>
      <w:r>
        <w:rPr>
          <w:rFonts w:ascii="仿宋_GB2312" w:hAnsi="仿宋_GB2312" w:eastAsia="仿宋_GB2312"/>
          <w:sz w:val="32"/>
        </w:rPr>
        <w:t>负责并报告工作，接受当地人大</w:t>
      </w:r>
      <w:r>
        <w:rPr>
          <w:rFonts w:hint="eastAsia" w:ascii="仿宋_GB2312" w:hAnsi="仿宋_GB2312" w:eastAsia="仿宋_GB2312"/>
          <w:sz w:val="32"/>
          <w:lang w:eastAsia="zh-CN"/>
        </w:rPr>
        <w:t>及其</w:t>
      </w:r>
      <w:r>
        <w:rPr>
          <w:rFonts w:ascii="仿宋_GB2312" w:hAnsi="仿宋_GB2312" w:eastAsia="仿宋_GB2312"/>
          <w:sz w:val="32"/>
        </w:rPr>
        <w:t>常委会的监督，接受上级人民法院的监督与业务指导。</w:t>
      </w:r>
    </w:p>
    <w:p w14:paraId="0D6ABDD7">
      <w:pPr>
        <w:spacing w:line="580" w:lineRule="exact"/>
        <w:ind w:firstLine="640"/>
        <w:jc w:val="both"/>
      </w:pPr>
      <w:r>
        <w:rPr>
          <w:rFonts w:ascii="仿宋_GB2312" w:hAnsi="仿宋_GB2312" w:eastAsia="仿宋_GB2312"/>
          <w:sz w:val="32"/>
        </w:rPr>
        <w:t>（2）按照管辖范围审理刑事、民事、经济、行政和第一审案件及减刑、假释案件。</w:t>
      </w:r>
    </w:p>
    <w:p w14:paraId="6F385BC7">
      <w:pPr>
        <w:spacing w:line="580" w:lineRule="exact"/>
        <w:ind w:firstLine="640"/>
        <w:jc w:val="both"/>
      </w:pPr>
      <w:r>
        <w:rPr>
          <w:rFonts w:ascii="仿宋_GB2312" w:hAnsi="仿宋_GB2312" w:eastAsia="仿宋_GB2312"/>
          <w:sz w:val="32"/>
        </w:rPr>
        <w:t>（3）依法审理依照审判监督程序提起的再审和上级法院指定再审的案件。</w:t>
      </w:r>
    </w:p>
    <w:p w14:paraId="170B9CEE">
      <w:pPr>
        <w:spacing w:line="580" w:lineRule="exact"/>
        <w:ind w:firstLine="640"/>
        <w:jc w:val="both"/>
      </w:pPr>
      <w:r>
        <w:rPr>
          <w:rFonts w:ascii="仿宋_GB2312" w:hAnsi="仿宋_GB2312" w:eastAsia="仿宋_GB2312"/>
          <w:sz w:val="32"/>
        </w:rPr>
        <w:t>（4）依法执行已生效的判决和裁定。</w:t>
      </w:r>
    </w:p>
    <w:p w14:paraId="5DAE6B1E">
      <w:pPr>
        <w:spacing w:line="580" w:lineRule="exact"/>
        <w:ind w:firstLine="640"/>
        <w:jc w:val="both"/>
      </w:pPr>
      <w:r>
        <w:rPr>
          <w:rFonts w:ascii="仿宋_GB2312" w:hAnsi="仿宋_GB2312" w:eastAsia="仿宋_GB2312"/>
          <w:sz w:val="32"/>
        </w:rPr>
        <w:t>（5）指导人民调解委员会的工作。</w:t>
      </w:r>
    </w:p>
    <w:p w14:paraId="188D9AB8">
      <w:pPr>
        <w:spacing w:line="580" w:lineRule="exact"/>
        <w:ind w:firstLine="640"/>
        <w:jc w:val="both"/>
      </w:pPr>
      <w:r>
        <w:rPr>
          <w:rFonts w:ascii="仿宋_GB2312" w:hAnsi="仿宋_GB2312" w:eastAsia="仿宋_GB2312"/>
          <w:sz w:val="32"/>
        </w:rPr>
        <w:t>（6）对审判工作中具体应用法律进行调查研究，提出司法建议。</w:t>
      </w:r>
    </w:p>
    <w:p w14:paraId="67FD14AD">
      <w:pPr>
        <w:spacing w:line="580" w:lineRule="exact"/>
        <w:ind w:firstLine="640"/>
        <w:jc w:val="both"/>
      </w:pPr>
      <w:r>
        <w:rPr>
          <w:rFonts w:ascii="仿宋_GB2312" w:hAnsi="仿宋_GB2312" w:eastAsia="仿宋_GB2312"/>
          <w:sz w:val="32"/>
        </w:rPr>
        <w:t>（7）负责法官思想政治工作和教育培训工作，抓好法官队伍建设。</w:t>
      </w:r>
    </w:p>
    <w:p w14:paraId="6DE85BCB">
      <w:pPr>
        <w:spacing w:line="580" w:lineRule="exact"/>
        <w:ind w:firstLine="640"/>
        <w:jc w:val="both"/>
      </w:pPr>
      <w:r>
        <w:rPr>
          <w:rFonts w:ascii="仿宋_GB2312" w:hAnsi="仿宋_GB2312" w:eastAsia="仿宋_GB2312"/>
          <w:sz w:val="32"/>
        </w:rPr>
        <w:t>（8）负责其他应由基层人民法院办理的事项。</w:t>
      </w:r>
    </w:p>
    <w:p w14:paraId="217DFD22">
      <w:pPr>
        <w:spacing w:line="640" w:lineRule="exact"/>
        <w:ind w:firstLine="640"/>
        <w:jc w:val="both"/>
        <w:outlineLvl w:val="2"/>
      </w:pPr>
      <w:r>
        <w:rPr>
          <w:rFonts w:ascii="黑体" w:hAnsi="黑体" w:eastAsia="黑体"/>
          <w:sz w:val="32"/>
        </w:rPr>
        <w:t>二、机构设置及人员情况</w:t>
      </w:r>
    </w:p>
    <w:p w14:paraId="4D817575">
      <w:pPr>
        <w:spacing w:line="580" w:lineRule="exact"/>
        <w:ind w:firstLine="640"/>
        <w:jc w:val="both"/>
      </w:pPr>
      <w:r>
        <w:rPr>
          <w:rFonts w:ascii="仿宋_GB2312" w:hAnsi="仿宋_GB2312" w:eastAsia="仿宋_GB2312"/>
          <w:sz w:val="32"/>
        </w:rPr>
        <w:t>阜康市人民法院2024年度，实有人数114人，其中：在职人员77人，增加0人；离休人员0人，增加0人；退休人员37人,增加0人。</w:t>
      </w:r>
    </w:p>
    <w:p w14:paraId="6C48F3AD">
      <w:pPr>
        <w:spacing w:line="580" w:lineRule="exact"/>
        <w:ind w:firstLine="640"/>
        <w:jc w:val="both"/>
      </w:pPr>
      <w:r>
        <w:rPr>
          <w:rFonts w:ascii="仿宋_GB2312" w:hAnsi="仿宋_GB2312" w:eastAsia="仿宋_GB2312"/>
          <w:sz w:val="32"/>
        </w:rPr>
        <w:t>阜康市人民法院无下属预算单位，下设8个科室，分别是：民事审判庭、刑事审判庭、行政（综合）审判庭、执行局、立案庭（诉讼服务中心）、审判管理办公室（研究室）、政治部（机关党委）、综合办公室（法警大队）。</w:t>
      </w:r>
    </w:p>
    <w:p w14:paraId="422652FE">
      <w:r>
        <w:br w:type="page"/>
      </w:r>
    </w:p>
    <w:p w14:paraId="1FC97B62">
      <w:pPr>
        <w:spacing w:line="240" w:lineRule="auto"/>
        <w:jc w:val="center"/>
        <w:outlineLvl w:val="1"/>
      </w:pPr>
      <w:r>
        <w:rPr>
          <w:rFonts w:ascii="黑体" w:hAnsi="黑体" w:eastAsia="黑体"/>
          <w:sz w:val="32"/>
        </w:rPr>
        <w:t>第二部分 部门决算情况说明</w:t>
      </w:r>
    </w:p>
    <w:p w14:paraId="2C57D944">
      <w:pPr>
        <w:spacing w:line="640" w:lineRule="exact"/>
        <w:ind w:firstLine="640"/>
        <w:jc w:val="both"/>
        <w:outlineLvl w:val="2"/>
      </w:pPr>
      <w:r>
        <w:rPr>
          <w:rFonts w:ascii="黑体" w:hAnsi="黑体" w:eastAsia="黑体"/>
          <w:sz w:val="32"/>
        </w:rPr>
        <w:t>一、收入支出决算总体情况说明</w:t>
      </w:r>
    </w:p>
    <w:p w14:paraId="15909760">
      <w:pPr>
        <w:spacing w:line="580" w:lineRule="exact"/>
        <w:ind w:firstLine="640"/>
        <w:jc w:val="both"/>
      </w:pPr>
      <w:r>
        <w:rPr>
          <w:rFonts w:ascii="仿宋_GB2312" w:hAnsi="仿宋_GB2312" w:eastAsia="仿宋_GB2312"/>
          <w:b/>
          <w:sz w:val="32"/>
        </w:rPr>
        <w:t>2024年度收入总计2,478.65万元，</w:t>
      </w:r>
      <w:r>
        <w:rPr>
          <w:rFonts w:ascii="仿宋_GB2312" w:hAnsi="仿宋_GB2312" w:eastAsia="仿宋_GB2312"/>
          <w:b w:val="0"/>
          <w:sz w:val="32"/>
        </w:rPr>
        <w:t>其中：本年收入合计2,438.40万元，使用非财政拨款结余（含专用结余）0.00万元，年初结转和结余40.26万元。</w:t>
      </w:r>
    </w:p>
    <w:p w14:paraId="46B98293">
      <w:pPr>
        <w:spacing w:line="580" w:lineRule="exact"/>
        <w:ind w:firstLine="640"/>
        <w:jc w:val="both"/>
      </w:pPr>
      <w:r>
        <w:rPr>
          <w:rFonts w:ascii="仿宋_GB2312" w:hAnsi="仿宋_GB2312" w:eastAsia="仿宋_GB2312"/>
          <w:b/>
          <w:sz w:val="32"/>
        </w:rPr>
        <w:t>2024年度支出总计2,478.65万元，</w:t>
      </w:r>
      <w:r>
        <w:rPr>
          <w:rFonts w:ascii="仿宋_GB2312" w:hAnsi="仿宋_GB2312" w:eastAsia="仿宋_GB2312"/>
          <w:b w:val="0"/>
          <w:sz w:val="32"/>
        </w:rPr>
        <w:t>其中：本年支出合计</w:t>
      </w:r>
      <w:r>
        <w:rPr>
          <w:rFonts w:ascii="仿宋_GB2312" w:hAnsi="仿宋_GB2312" w:eastAsia="仿宋_GB2312"/>
          <w:b w:val="0"/>
          <w:w w:val="97"/>
          <w:sz w:val="32"/>
        </w:rPr>
        <w:t>2,438.40万元，结余分配0.00万元，年末结转和结余40.26万元。</w:t>
      </w:r>
    </w:p>
    <w:p w14:paraId="330671AB">
      <w:pPr>
        <w:spacing w:line="580" w:lineRule="exact"/>
        <w:ind w:firstLine="640"/>
        <w:jc w:val="both"/>
      </w:pPr>
      <w:r>
        <w:rPr>
          <w:rFonts w:ascii="仿宋_GB2312" w:hAnsi="仿宋_GB2312" w:eastAsia="仿宋_GB2312"/>
          <w:b w:val="0"/>
          <w:sz w:val="32"/>
        </w:rPr>
        <w:t>收入支出总体与上年相比，减少760.23万元，下降23.47%，主要原因是：本年减少业务费补助项目、2023年化解债务资金项目、州财政拨付资金、2021年阜康市财政拨中央转移支付资金等项目。</w:t>
      </w:r>
    </w:p>
    <w:p w14:paraId="0237BFB4">
      <w:pPr>
        <w:spacing w:line="640" w:lineRule="exact"/>
        <w:ind w:firstLine="640"/>
        <w:jc w:val="both"/>
        <w:outlineLvl w:val="2"/>
      </w:pPr>
      <w:r>
        <w:rPr>
          <w:rFonts w:ascii="黑体" w:hAnsi="黑体" w:eastAsia="黑体"/>
          <w:sz w:val="32"/>
        </w:rPr>
        <w:t>二、收入决算情况说明</w:t>
      </w:r>
    </w:p>
    <w:p w14:paraId="6498D073">
      <w:pPr>
        <w:spacing w:line="580" w:lineRule="exact"/>
        <w:ind w:firstLine="640"/>
        <w:jc w:val="both"/>
      </w:pPr>
      <w:r>
        <w:rPr>
          <w:rFonts w:ascii="仿宋_GB2312" w:hAnsi="仿宋_GB2312" w:eastAsia="仿宋_GB2312"/>
          <w:b/>
          <w:sz w:val="32"/>
        </w:rPr>
        <w:t>本年收入2,438.40万元，</w:t>
      </w:r>
      <w:r>
        <w:rPr>
          <w:rFonts w:ascii="仿宋_GB2312" w:hAnsi="仿宋_GB2312" w:eastAsia="仿宋_GB2312"/>
          <w:b w:val="0"/>
          <w:sz w:val="32"/>
        </w:rPr>
        <w:t>其中：财政拨款收入2,408.40万元，占98.77%；上级补助收入0.00万元，占0.00%；事业收入0.00万元，占0.00%；经营收入0.00万元，占0.00%；附属单位上缴收入0.00万元，占0.00%；其他收入30.00万元，占1.23%。</w:t>
      </w:r>
    </w:p>
    <w:p w14:paraId="6B7330D0">
      <w:pPr>
        <w:spacing w:line="640" w:lineRule="exact"/>
        <w:ind w:firstLine="640"/>
        <w:jc w:val="both"/>
        <w:outlineLvl w:val="2"/>
      </w:pPr>
      <w:r>
        <w:rPr>
          <w:rFonts w:ascii="黑体" w:hAnsi="黑体" w:eastAsia="黑体"/>
          <w:sz w:val="32"/>
        </w:rPr>
        <w:t>三、支出决算情况说明</w:t>
      </w:r>
    </w:p>
    <w:p w14:paraId="3DEA17DA">
      <w:pPr>
        <w:spacing w:line="580" w:lineRule="exact"/>
        <w:ind w:firstLine="640"/>
        <w:jc w:val="both"/>
      </w:pPr>
      <w:r>
        <w:rPr>
          <w:rFonts w:ascii="仿宋_GB2312" w:hAnsi="仿宋_GB2312" w:eastAsia="仿宋_GB2312"/>
          <w:b/>
          <w:sz w:val="32"/>
        </w:rPr>
        <w:t>本年支出2,438.40万元，</w:t>
      </w:r>
      <w:r>
        <w:rPr>
          <w:rFonts w:ascii="仿宋_GB2312" w:hAnsi="仿宋_GB2312" w:eastAsia="仿宋_GB2312"/>
          <w:b w:val="0"/>
          <w:sz w:val="32"/>
        </w:rPr>
        <w:t>其中：基本支出1,971.98万元，占80.87%；项目支出466.42万元，占19.13%；上缴上级支出0.00万元，占0.00%；经营支出0.00万元，占0.00%；对附属单位补助支出0.00万元，占0.00%。</w:t>
      </w:r>
    </w:p>
    <w:p w14:paraId="76BEDED6">
      <w:pPr>
        <w:spacing w:line="640" w:lineRule="exact"/>
        <w:ind w:firstLine="640"/>
        <w:jc w:val="both"/>
        <w:outlineLvl w:val="2"/>
      </w:pPr>
      <w:r>
        <w:rPr>
          <w:rFonts w:ascii="黑体" w:hAnsi="黑体" w:eastAsia="黑体"/>
          <w:sz w:val="32"/>
        </w:rPr>
        <w:t>四、财政拨款收入支出决算总体情况说明</w:t>
      </w:r>
    </w:p>
    <w:p w14:paraId="2ED75CC8">
      <w:pPr>
        <w:spacing w:line="580" w:lineRule="exact"/>
        <w:ind w:firstLine="640"/>
        <w:jc w:val="both"/>
      </w:pPr>
      <w:r>
        <w:rPr>
          <w:rFonts w:ascii="仿宋_GB2312" w:hAnsi="仿宋_GB2312" w:eastAsia="仿宋_GB2312"/>
          <w:b/>
          <w:sz w:val="32"/>
        </w:rPr>
        <w:t>2024年度财政拨款收入总计2,408.40万元，</w:t>
      </w:r>
      <w:r>
        <w:rPr>
          <w:rFonts w:ascii="仿宋_GB2312" w:hAnsi="仿宋_GB2312" w:eastAsia="仿宋_GB2312"/>
          <w:b w:val="0"/>
          <w:sz w:val="32"/>
        </w:rPr>
        <w:t>其中：年初财政拨款结转和结余0.00万元，本年财政拨款收入2,408.40万元。</w:t>
      </w:r>
      <w:r>
        <w:rPr>
          <w:rFonts w:ascii="仿宋_GB2312" w:hAnsi="仿宋_GB2312" w:eastAsia="仿宋_GB2312"/>
          <w:b/>
          <w:sz w:val="32"/>
        </w:rPr>
        <w:t>财政拨款支出总计2,408.40万元，</w:t>
      </w:r>
      <w:r>
        <w:rPr>
          <w:rFonts w:ascii="仿宋_GB2312" w:hAnsi="仿宋_GB2312" w:eastAsia="仿宋_GB2312"/>
          <w:b w:val="0"/>
          <w:sz w:val="32"/>
        </w:rPr>
        <w:t>其中：年末财政拨款结转和结余0.00万元，本年财政拨款支出2,408.40万元。</w:t>
      </w:r>
    </w:p>
    <w:p w14:paraId="0750296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减少729.07万元，下降23.24%，主要原因是：本年减少业务费补助项目、2023年化解债务资金、州财政拨付资金项目。</w:t>
      </w:r>
      <w:r>
        <w:rPr>
          <w:rFonts w:ascii="仿宋_GB2312" w:hAnsi="仿宋_GB2312" w:eastAsia="仿宋_GB2312"/>
          <w:b/>
          <w:sz w:val="32"/>
        </w:rPr>
        <w:t>与年初预算相比，</w:t>
      </w:r>
      <w:r>
        <w:rPr>
          <w:rFonts w:ascii="仿宋_GB2312" w:hAnsi="仿宋_GB2312" w:eastAsia="仿宋_GB2312"/>
          <w:b w:val="0"/>
          <w:sz w:val="32"/>
        </w:rPr>
        <w:t>年初预算数2,296.08万元，决算数2,408.40万元，预决算差异率4.89%，主要原因是：年中追加中央政法纪检监察转移支付资金项目，年中追加人员经费及人员工资、社保、公积金基数调增部分资金，导致预决算存在差异。</w:t>
      </w:r>
    </w:p>
    <w:p w14:paraId="66F31022">
      <w:pPr>
        <w:spacing w:line="640" w:lineRule="exact"/>
        <w:ind w:firstLine="640"/>
        <w:jc w:val="both"/>
        <w:outlineLvl w:val="2"/>
      </w:pPr>
      <w:r>
        <w:rPr>
          <w:rFonts w:ascii="黑体" w:hAnsi="黑体" w:eastAsia="黑体"/>
          <w:sz w:val="32"/>
        </w:rPr>
        <w:t>五、一般公共预算财政拨款支出决算情况说明</w:t>
      </w:r>
    </w:p>
    <w:p w14:paraId="4EB8C3AA">
      <w:pPr>
        <w:spacing w:line="640" w:lineRule="exact"/>
        <w:ind w:firstLine="640"/>
        <w:jc w:val="both"/>
        <w:outlineLvl w:val="3"/>
      </w:pPr>
      <w:r>
        <w:rPr>
          <w:rFonts w:ascii="楷体_GB2312" w:hAnsi="楷体_GB2312" w:eastAsia="楷体_GB2312"/>
          <w:b/>
          <w:sz w:val="32"/>
        </w:rPr>
        <w:t>（一）一般公共预算财政拨款支出决算总体情况</w:t>
      </w:r>
    </w:p>
    <w:p w14:paraId="05B6CFA2">
      <w:pPr>
        <w:spacing w:line="580" w:lineRule="exact"/>
        <w:ind w:firstLine="640"/>
        <w:jc w:val="both"/>
      </w:pPr>
      <w:r>
        <w:rPr>
          <w:rFonts w:ascii="仿宋_GB2312" w:hAnsi="仿宋_GB2312" w:eastAsia="仿宋_GB2312"/>
          <w:b/>
          <w:sz w:val="32"/>
        </w:rPr>
        <w:t>2024年度一般公共预算财政拨款支出2,408.40万元，</w:t>
      </w:r>
      <w:r>
        <w:rPr>
          <w:rFonts w:ascii="仿宋_GB2312" w:hAnsi="仿宋_GB2312" w:eastAsia="仿宋_GB2312"/>
          <w:b w:val="0"/>
          <w:sz w:val="32"/>
        </w:rPr>
        <w:t>占本年支出合计的98.77%。</w:t>
      </w:r>
      <w:r>
        <w:rPr>
          <w:rFonts w:ascii="仿宋_GB2312" w:hAnsi="仿宋_GB2312" w:eastAsia="仿宋_GB2312"/>
          <w:b/>
          <w:sz w:val="32"/>
        </w:rPr>
        <w:t>与上年相比，</w:t>
      </w:r>
      <w:r>
        <w:rPr>
          <w:rFonts w:ascii="仿宋_GB2312" w:hAnsi="仿宋_GB2312" w:eastAsia="仿宋_GB2312"/>
          <w:b w:val="0"/>
          <w:sz w:val="32"/>
        </w:rPr>
        <w:t>减少729.07万元，下降23.24%，主要原因是：本年减少业务费补助项目、2023年化解债务资金项目、州财政拨付资金项目。</w:t>
      </w:r>
      <w:r>
        <w:rPr>
          <w:rFonts w:ascii="仿宋_GB2312" w:hAnsi="仿宋_GB2312" w:eastAsia="仿宋_GB2312"/>
          <w:b/>
          <w:sz w:val="32"/>
        </w:rPr>
        <w:t>与年初预算相比,</w:t>
      </w:r>
      <w:r>
        <w:rPr>
          <w:rFonts w:ascii="仿宋_GB2312" w:hAnsi="仿宋_GB2312" w:eastAsia="仿宋_GB2312"/>
          <w:b w:val="0"/>
          <w:sz w:val="32"/>
        </w:rPr>
        <w:t>年初预算数2,296.08万元，决算数2,408.40万元，预决算差异率4.89%，主要原因是：年中追加中央政法纪检监察转移支付资金项目，年中追加人员经费及人员工资、社保、公积金基数调增部分资金，导致预决算存在差异。</w:t>
      </w:r>
    </w:p>
    <w:p w14:paraId="236444D0">
      <w:pPr>
        <w:spacing w:line="640" w:lineRule="exact"/>
        <w:ind w:firstLine="640"/>
        <w:jc w:val="both"/>
        <w:outlineLvl w:val="3"/>
      </w:pPr>
      <w:r>
        <w:rPr>
          <w:rFonts w:ascii="楷体_GB2312" w:hAnsi="楷体_GB2312" w:eastAsia="楷体_GB2312"/>
          <w:b/>
          <w:sz w:val="32"/>
        </w:rPr>
        <w:t>（二）一般公共预算财政拨款支出决算结构情况</w:t>
      </w:r>
    </w:p>
    <w:p w14:paraId="4AFCDC5D">
      <w:pPr>
        <w:spacing w:line="580" w:lineRule="exact"/>
        <w:ind w:firstLine="640"/>
        <w:jc w:val="both"/>
      </w:pPr>
      <w:r>
        <w:rPr>
          <w:rFonts w:ascii="仿宋_GB2312" w:hAnsi="仿宋_GB2312" w:eastAsia="仿宋_GB2312"/>
          <w:b w:val="0"/>
          <w:sz w:val="32"/>
        </w:rPr>
        <w:t>1.公共安全支出(类)1,995.34万元,占82.85%。</w:t>
      </w:r>
    </w:p>
    <w:p w14:paraId="3BA2EC9B">
      <w:pPr>
        <w:spacing w:line="580" w:lineRule="exact"/>
        <w:ind w:firstLine="640"/>
        <w:jc w:val="both"/>
      </w:pPr>
      <w:r>
        <w:rPr>
          <w:rFonts w:ascii="仿宋_GB2312" w:hAnsi="仿宋_GB2312" w:eastAsia="仿宋_GB2312"/>
          <w:b w:val="0"/>
          <w:sz w:val="32"/>
        </w:rPr>
        <w:t>2.社会保障和就业支出(类)220.49万元,占9.16%。</w:t>
      </w:r>
    </w:p>
    <w:p w14:paraId="55FC66D5">
      <w:pPr>
        <w:spacing w:line="580" w:lineRule="exact"/>
        <w:ind w:firstLine="640"/>
        <w:jc w:val="both"/>
      </w:pPr>
      <w:r>
        <w:rPr>
          <w:rFonts w:ascii="仿宋_GB2312" w:hAnsi="仿宋_GB2312" w:eastAsia="仿宋_GB2312"/>
          <w:b w:val="0"/>
          <w:sz w:val="32"/>
        </w:rPr>
        <w:t>3.卫生健康支出(类)73.64万元,占3.06%。</w:t>
      </w:r>
    </w:p>
    <w:p w14:paraId="65591A12">
      <w:pPr>
        <w:spacing w:line="580" w:lineRule="exact"/>
        <w:ind w:firstLine="640"/>
        <w:jc w:val="both"/>
      </w:pPr>
      <w:r>
        <w:rPr>
          <w:rFonts w:ascii="仿宋_GB2312" w:hAnsi="仿宋_GB2312" w:eastAsia="仿宋_GB2312"/>
          <w:b w:val="0"/>
          <w:sz w:val="32"/>
        </w:rPr>
        <w:t>4.住房保障支出(类)114.66万元,占4.76%。</w:t>
      </w:r>
    </w:p>
    <w:p w14:paraId="623A5656">
      <w:pPr>
        <w:spacing w:line="580" w:lineRule="exact"/>
        <w:ind w:firstLine="640"/>
        <w:jc w:val="both"/>
      </w:pPr>
      <w:r>
        <w:rPr>
          <w:rFonts w:ascii="仿宋_GB2312" w:hAnsi="仿宋_GB2312" w:eastAsia="仿宋_GB2312"/>
          <w:b w:val="0"/>
          <w:sz w:val="32"/>
        </w:rPr>
        <w:t>5.其他支出(类)4.28万元,占0.18%。</w:t>
      </w:r>
    </w:p>
    <w:p w14:paraId="44DC2F63">
      <w:pPr>
        <w:spacing w:line="640" w:lineRule="exact"/>
        <w:ind w:firstLine="640"/>
        <w:jc w:val="both"/>
        <w:outlineLvl w:val="3"/>
      </w:pPr>
      <w:r>
        <w:rPr>
          <w:rFonts w:ascii="楷体_GB2312" w:hAnsi="楷体_GB2312" w:eastAsia="楷体_GB2312"/>
          <w:b/>
          <w:sz w:val="32"/>
        </w:rPr>
        <w:t>（三）一般公共预算财政拨款支出决算具体情况</w:t>
      </w:r>
    </w:p>
    <w:p w14:paraId="1B7C0242">
      <w:pPr>
        <w:spacing w:line="580" w:lineRule="exact"/>
        <w:ind w:firstLine="640"/>
        <w:jc w:val="both"/>
      </w:pPr>
      <w:r>
        <w:rPr>
          <w:rFonts w:ascii="仿宋_GB2312" w:hAnsi="仿宋_GB2312" w:eastAsia="仿宋_GB2312"/>
          <w:b w:val="0"/>
          <w:sz w:val="32"/>
        </w:rPr>
        <w:t>1.公共安全支出(类)法院(款)行政运行(项):支出决算数为1,562.59万元，比上年决算增加75.61万元，增长5.08%,主要原因是：本年在职人员工资调增，导致相关人员经费较上年有所增加；本年聘用人员较上年增加，</w:t>
      </w:r>
      <w:r>
        <w:rPr>
          <w:rFonts w:hint="eastAsia" w:ascii="仿宋_GB2312" w:hAnsi="仿宋_GB2312" w:eastAsia="仿宋_GB2312"/>
          <w:b w:val="0"/>
          <w:sz w:val="32"/>
          <w:lang w:val="en-US" w:eastAsia="zh-CN"/>
        </w:rPr>
        <w:t>经费较上年增加</w:t>
      </w:r>
      <w:r>
        <w:rPr>
          <w:rFonts w:ascii="仿宋_GB2312" w:hAnsi="仿宋_GB2312" w:eastAsia="仿宋_GB2312"/>
          <w:b w:val="0"/>
          <w:sz w:val="32"/>
        </w:rPr>
        <w:t>；本年劳务费、单位运行经费较上年增加。</w:t>
      </w:r>
    </w:p>
    <w:p w14:paraId="0FCE6472">
      <w:pPr>
        <w:spacing w:line="580" w:lineRule="exact"/>
        <w:ind w:firstLine="640"/>
        <w:jc w:val="both"/>
      </w:pPr>
      <w:r>
        <w:rPr>
          <w:rFonts w:ascii="仿宋_GB2312" w:hAnsi="仿宋_GB2312" w:eastAsia="仿宋_GB2312"/>
          <w:b w:val="0"/>
          <w:sz w:val="32"/>
        </w:rPr>
        <w:t>2.公共安全支出(类)法院(款)一般行政管理事务(项):支出决算数为0.00万元，比上年决算减少890.84万元，下降100.00%,主要原因是：本年减少业务费补助项目、2023年化解债务资金项目、州财政拨付资金项目。</w:t>
      </w:r>
    </w:p>
    <w:p w14:paraId="05E19397">
      <w:pPr>
        <w:spacing w:line="580" w:lineRule="exact"/>
        <w:ind w:firstLine="640"/>
        <w:jc w:val="both"/>
      </w:pPr>
      <w:r>
        <w:rPr>
          <w:rFonts w:ascii="仿宋_GB2312" w:hAnsi="仿宋_GB2312" w:eastAsia="仿宋_GB2312"/>
          <w:b w:val="0"/>
          <w:sz w:val="32"/>
        </w:rPr>
        <w:t>3.公共安全支出(类)法院(款)其他法院支出(项):支出决算数为432.75万元，比上年决算增加82.12万元，增长23.42%,主要原因是：本年中央政法</w:t>
      </w:r>
      <w:r>
        <w:rPr>
          <w:rFonts w:hint="eastAsia" w:ascii="仿宋_GB2312" w:hAnsi="仿宋_GB2312" w:eastAsia="仿宋_GB2312"/>
          <w:b w:val="0"/>
          <w:sz w:val="32"/>
          <w:lang w:eastAsia="zh-CN"/>
        </w:rPr>
        <w:t>纪检监察</w:t>
      </w:r>
      <w:r>
        <w:rPr>
          <w:rFonts w:ascii="仿宋_GB2312" w:hAnsi="仿宋_GB2312" w:eastAsia="仿宋_GB2312"/>
          <w:b w:val="0"/>
          <w:sz w:val="32"/>
        </w:rPr>
        <w:t>转移支付资金、司法救助金较上年增加。本年新增自治区政法</w:t>
      </w:r>
      <w:r>
        <w:rPr>
          <w:rFonts w:hint="eastAsia" w:ascii="仿宋_GB2312" w:hAnsi="仿宋_GB2312" w:eastAsia="仿宋_GB2312"/>
          <w:b w:val="0"/>
          <w:sz w:val="32"/>
          <w:lang w:eastAsia="zh-CN"/>
        </w:rPr>
        <w:t>纪检监察</w:t>
      </w:r>
      <w:r>
        <w:rPr>
          <w:rFonts w:ascii="仿宋_GB2312" w:hAnsi="仿宋_GB2312" w:eastAsia="仿宋_GB2312"/>
          <w:b w:val="0"/>
          <w:sz w:val="32"/>
        </w:rPr>
        <w:t>转移支付资金。</w:t>
      </w:r>
    </w:p>
    <w:p w14:paraId="150A1750">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4.社会保障和就业支出(类)行政事业单位养老支出(款)行政单位离退休(项):支出决算数为23.51万元，比上年决算增加8.62万元，增长57.89%,主要原因是：本年增加退休人员基础绩效奖，退休费支出增加。</w:t>
      </w:r>
    </w:p>
    <w:p w14:paraId="61EFAD40">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127.81万元，比上年决算增加0.64万元，增长0.50%,主要原因是：本年在职人员工资基数调增，养老缴费基数上涨，相应支出增加。</w:t>
      </w:r>
    </w:p>
    <w:p w14:paraId="6EFF02F5">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69.17万元，比上年决算增加3.70万元，增长5.65%,主要原因是：本年在职人员工资基数调增，职业年金缴费支出增加。</w:t>
      </w:r>
    </w:p>
    <w:p w14:paraId="1EC728B8">
      <w:pPr>
        <w:spacing w:line="580" w:lineRule="exact"/>
        <w:ind w:firstLine="640"/>
        <w:jc w:val="both"/>
      </w:pPr>
      <w:r>
        <w:rPr>
          <w:rFonts w:ascii="仿宋_GB2312" w:hAnsi="仿宋_GB2312" w:eastAsia="仿宋_GB2312"/>
          <w:b w:val="0"/>
          <w:sz w:val="32"/>
        </w:rPr>
        <w:t>7.卫生健康支出(类)行政事业单位医疗(款)行政单位医疗(项):支出决算数为68.67万元，比上年决算增加5.08万元，增长7.99%,主要原因是：本年在职人员工资基数调增，医疗缴费基数上涨，相应支出增加。</w:t>
      </w:r>
    </w:p>
    <w:p w14:paraId="07EFB04D">
      <w:pPr>
        <w:spacing w:line="580" w:lineRule="exact"/>
        <w:ind w:firstLine="640"/>
        <w:jc w:val="both"/>
      </w:pPr>
      <w:r>
        <w:rPr>
          <w:rFonts w:ascii="仿宋_GB2312" w:hAnsi="仿宋_GB2312" w:eastAsia="仿宋_GB2312"/>
          <w:b w:val="0"/>
          <w:sz w:val="32"/>
        </w:rPr>
        <w:t>8.卫生健康支出(类)行政事业单位医疗(款)公务员医疗补助(项):支出决算数为4.28万元，比上年决算增加0.31万元，增长7.81%,主要原因是：本年在职人员工资基数调增，医疗缴费基数上涨，相应支出增加。</w:t>
      </w:r>
    </w:p>
    <w:p w14:paraId="459283AC">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9.卫生健康支出(类)行政事业单位医疗(款)其他行政事业单位医疗支出(项):支出决算数为0.69万元，比上年决算增加0.04万元，增长6.15%,主要原因是：本年在职人员工资基数调增，医疗缴费基数上涨，相应支出增加。</w:t>
      </w:r>
    </w:p>
    <w:p w14:paraId="60BD6269">
      <w:pPr>
        <w:spacing w:line="580" w:lineRule="exact"/>
        <w:ind w:firstLine="640"/>
        <w:jc w:val="both"/>
      </w:pPr>
      <w:r>
        <w:rPr>
          <w:rFonts w:ascii="仿宋_GB2312" w:hAnsi="仿宋_GB2312" w:eastAsia="仿宋_GB2312"/>
          <w:b w:val="0"/>
          <w:sz w:val="32"/>
        </w:rPr>
        <w:t>10.住房保障支出(类)住房改革支出(款)住房公积金(项):支出决算数为114.66万元，比上年决算增加1.21万元，增长1.07%,主要原因是：本年在职人员工资基数调增，公积金缴费基数上涨，相应支出增加。</w:t>
      </w:r>
    </w:p>
    <w:p w14:paraId="3FADF5FE">
      <w:pPr>
        <w:spacing w:line="580" w:lineRule="exact"/>
        <w:ind w:firstLine="640"/>
        <w:jc w:val="both"/>
      </w:pPr>
      <w:r>
        <w:rPr>
          <w:rFonts w:ascii="仿宋_GB2312" w:hAnsi="仿宋_GB2312" w:eastAsia="仿宋_GB2312"/>
          <w:b w:val="0"/>
          <w:sz w:val="32"/>
        </w:rPr>
        <w:t>11.其他支出(类)其他支出(款)其他支出(项):支出决算数为4.28万元，比上年决算减少15.55万元，下降78.42%,主要原因是：2024年5月本单位为民办实事工作队已取消，使用资金为2023年结余资金，导致经费较上年减少。</w:t>
      </w:r>
    </w:p>
    <w:p w14:paraId="7EDBCFB3">
      <w:pPr>
        <w:spacing w:line="640" w:lineRule="exact"/>
        <w:ind w:firstLine="640"/>
        <w:jc w:val="both"/>
        <w:outlineLvl w:val="2"/>
      </w:pPr>
      <w:r>
        <w:rPr>
          <w:rFonts w:ascii="黑体" w:hAnsi="黑体" w:eastAsia="黑体"/>
          <w:sz w:val="32"/>
        </w:rPr>
        <w:t>六、一般公共预算财政拨款基本支出决算情况说明</w:t>
      </w:r>
    </w:p>
    <w:p w14:paraId="2B351FA9">
      <w:pPr>
        <w:spacing w:line="580" w:lineRule="exact"/>
        <w:ind w:firstLine="640"/>
        <w:jc w:val="both"/>
      </w:pPr>
      <w:r>
        <w:rPr>
          <w:rFonts w:ascii="仿宋_GB2312" w:hAnsi="仿宋_GB2312" w:eastAsia="仿宋_GB2312"/>
          <w:b w:val="0"/>
          <w:sz w:val="32"/>
        </w:rPr>
        <w:t>2024年度一般公共预算财政拨款基本支出1,971.98万元，其中：</w:t>
      </w:r>
      <w:r>
        <w:rPr>
          <w:rFonts w:ascii="仿宋_GB2312" w:hAnsi="仿宋_GB2312" w:eastAsia="仿宋_GB2312"/>
          <w:b/>
          <w:sz w:val="32"/>
        </w:rPr>
        <w:t>人员经费1,764.92万元，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奖励金。</w:t>
      </w:r>
    </w:p>
    <w:p w14:paraId="3471DD47">
      <w:pPr>
        <w:spacing w:line="580" w:lineRule="exact"/>
        <w:ind w:firstLine="640"/>
        <w:jc w:val="both"/>
      </w:pPr>
      <w:r>
        <w:rPr>
          <w:rFonts w:ascii="仿宋_GB2312" w:hAnsi="仿宋_GB2312" w:eastAsia="仿宋_GB2312"/>
          <w:b/>
          <w:sz w:val="32"/>
        </w:rPr>
        <w:t>公用经费207.05万元，</w:t>
      </w:r>
      <w:r>
        <w:rPr>
          <w:rFonts w:ascii="仿宋_GB2312" w:hAnsi="仿宋_GB2312" w:eastAsia="仿宋_GB2312"/>
          <w:b w:val="0"/>
          <w:sz w:val="32"/>
        </w:rPr>
        <w:t>包括：办公费、水费、电费、邮电费、取暖费、维修（护）费、租赁费、公务接待费、劳务费、工会经费、福利费、公务用车运行维护费、其他商品和服务支出。</w:t>
      </w:r>
    </w:p>
    <w:p w14:paraId="7270BA67">
      <w:pPr>
        <w:spacing w:line="640" w:lineRule="exact"/>
        <w:ind w:firstLine="640"/>
        <w:jc w:val="both"/>
        <w:outlineLvl w:val="2"/>
      </w:pPr>
      <w:r>
        <w:rPr>
          <w:rFonts w:ascii="黑体" w:hAnsi="黑体" w:eastAsia="黑体"/>
          <w:sz w:val="32"/>
        </w:rPr>
        <w:t>七、政府性基金预算财政拨款收入支出决算情况说明</w:t>
      </w:r>
    </w:p>
    <w:p w14:paraId="6A78C56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C141CB9">
      <w:pPr>
        <w:spacing w:line="640" w:lineRule="exact"/>
        <w:ind w:firstLine="640"/>
        <w:jc w:val="both"/>
        <w:outlineLvl w:val="2"/>
      </w:pPr>
      <w:r>
        <w:rPr>
          <w:rFonts w:ascii="黑体" w:hAnsi="黑体" w:eastAsia="黑体"/>
          <w:sz w:val="32"/>
        </w:rPr>
        <w:t>八、国有资本经营预算财政拨款收入支出决算情况说明</w:t>
      </w:r>
    </w:p>
    <w:p w14:paraId="5E1DD1B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8F52EF3">
      <w:pPr>
        <w:spacing w:line="640" w:lineRule="exact"/>
        <w:ind w:firstLine="640"/>
        <w:jc w:val="both"/>
        <w:outlineLvl w:val="2"/>
      </w:pPr>
      <w:r>
        <w:rPr>
          <w:rFonts w:ascii="黑体" w:hAnsi="黑体" w:eastAsia="黑体"/>
          <w:sz w:val="32"/>
        </w:rPr>
        <w:t>九、财政拨款“三公”经费支出决算情况说明</w:t>
      </w:r>
    </w:p>
    <w:p w14:paraId="0070BC8F">
      <w:pPr>
        <w:spacing w:line="580" w:lineRule="exact"/>
        <w:ind w:firstLine="640"/>
        <w:jc w:val="both"/>
      </w:pPr>
      <w:r>
        <w:rPr>
          <w:rFonts w:ascii="仿宋_GB2312" w:hAnsi="仿宋_GB2312" w:eastAsia="仿宋_GB2312"/>
          <w:b/>
          <w:sz w:val="32"/>
        </w:rPr>
        <w:t>2024年度财政拨款“三公”经费支出21.05万元，</w:t>
      </w:r>
      <w:r>
        <w:rPr>
          <w:rFonts w:ascii="仿宋_GB2312" w:hAnsi="仿宋_GB2312" w:eastAsia="仿宋_GB2312"/>
          <w:b w:val="0"/>
          <w:sz w:val="32"/>
        </w:rPr>
        <w:t>比上年减少0.05万元，下降0.24%，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20.05万元，占95.25%，比上年减少0.11万元，下降0.55%，主要原因是：严格落实中央八项规定精神，厉行节约，减少公务用车运行维护费。公务接待费支出1.00万元，占4.75%，比上年增加0.06万元，增长6.38%，主要原因是：本年因业务需求，增加公务接待工作，导致公务接待费较上年增加。</w:t>
      </w:r>
    </w:p>
    <w:p w14:paraId="22F9D539">
      <w:pPr>
        <w:spacing w:line="580" w:lineRule="exact"/>
        <w:ind w:firstLine="640"/>
        <w:jc w:val="both"/>
      </w:pPr>
      <w:r>
        <w:rPr>
          <w:rFonts w:ascii="仿宋_GB2312" w:hAnsi="仿宋_GB2312" w:eastAsia="仿宋_GB2312"/>
          <w:b/>
          <w:sz w:val="32"/>
        </w:rPr>
        <w:t>具体情况如下：</w:t>
      </w:r>
    </w:p>
    <w:p w14:paraId="2359932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1BED9FC">
      <w:pPr>
        <w:spacing w:line="580" w:lineRule="exact"/>
        <w:ind w:firstLine="640"/>
        <w:jc w:val="both"/>
      </w:pPr>
      <w:r>
        <w:rPr>
          <w:rFonts w:ascii="仿宋_GB2312" w:hAnsi="仿宋_GB2312" w:eastAsia="仿宋_GB2312"/>
          <w:b w:val="0"/>
          <w:sz w:val="32"/>
        </w:rPr>
        <w:t>公务用车购置及运行维护费20.05万元，其中：公务用车购置费0.00万元，公务用车运行维护费20.05万元。公务用车运行维护费开支内容包括车辆加油费、维修费、保险费、审车费、过路费。公务用车购置数0辆，公务用车保有量15辆。国有资产占用情况中固定资产车辆15辆，与公务用车保有量差异原因是：本单位固定资产车辆与公务用车保有量一致无差异。</w:t>
      </w:r>
    </w:p>
    <w:p w14:paraId="39BE9C81">
      <w:pPr>
        <w:spacing w:line="580" w:lineRule="exact"/>
        <w:ind w:firstLine="640"/>
        <w:jc w:val="both"/>
      </w:pPr>
      <w:r>
        <w:rPr>
          <w:rFonts w:ascii="仿宋_GB2312" w:hAnsi="仿宋_GB2312" w:eastAsia="仿宋_GB2312"/>
          <w:b w:val="0"/>
          <w:sz w:val="32"/>
        </w:rPr>
        <w:t>公务接待费1.00万元，开支内容包括因对口援建交流，接待福建高院、福建漳州芗城区法院、福州市鼓楼区法院、黑龙江高院、山西高院、厦门中院、昌吉市法院考察学习产生的就餐费。单位全年安排的国内公务接待7批次，73人次。</w:t>
      </w:r>
    </w:p>
    <w:p w14:paraId="7658372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21.16万元，决算数21.05万元，预决算差异率-0.52%，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20.16万元，决算数20.05万元，预决算差异率-0.55%，主要原因是：严格落实中央八项规定精神，厉行节约，减少公务用车使用频次，燃油费减少。公务接待费全年预算数1.00万元，决算数1.00万元，预决算差异率0.00%，主要原因是：严格按照预算执行，预决算无差异。</w:t>
      </w:r>
    </w:p>
    <w:p w14:paraId="77B7EA3E">
      <w:pPr>
        <w:spacing w:line="640" w:lineRule="exact"/>
        <w:ind w:firstLine="640"/>
        <w:jc w:val="both"/>
        <w:outlineLvl w:val="2"/>
      </w:pPr>
      <w:r>
        <w:rPr>
          <w:rFonts w:ascii="黑体" w:hAnsi="黑体" w:eastAsia="黑体"/>
          <w:sz w:val="32"/>
        </w:rPr>
        <w:t>十、其他重要事项的情况说明</w:t>
      </w:r>
    </w:p>
    <w:p w14:paraId="2C8E71EB">
      <w:pPr>
        <w:spacing w:line="640" w:lineRule="exact"/>
        <w:ind w:firstLine="640"/>
        <w:jc w:val="both"/>
        <w:outlineLvl w:val="3"/>
      </w:pPr>
      <w:r>
        <w:rPr>
          <w:rFonts w:ascii="楷体_GB2312" w:hAnsi="楷体_GB2312" w:eastAsia="楷体_GB2312"/>
          <w:b/>
          <w:sz w:val="32"/>
        </w:rPr>
        <w:t>（一）机关运行经费及公用经费支出情况</w:t>
      </w:r>
    </w:p>
    <w:p w14:paraId="5B2FA85E">
      <w:pPr>
        <w:spacing w:line="580" w:lineRule="exact"/>
        <w:ind w:firstLine="640"/>
        <w:jc w:val="both"/>
      </w:pPr>
      <w:r>
        <w:rPr>
          <w:rFonts w:ascii="仿宋_GB2312" w:hAnsi="仿宋_GB2312" w:eastAsia="仿宋_GB2312"/>
          <w:b w:val="0"/>
          <w:sz w:val="32"/>
        </w:rPr>
        <w:t>2024年度阜康市人民法院（行政单位和参照公务员法管理事业单位）机关运行经费支出207.05万元，比上年增加4.25万元，增长2.10%，主要原因是：本年增加维修维护费、劳务费经</w:t>
      </w:r>
      <w:r>
        <w:rPr>
          <w:rFonts w:ascii="仿宋_GB2312" w:hAnsi="仿宋_GB2312" w:eastAsia="仿宋_GB2312"/>
          <w:b w:val="0"/>
          <w:w w:val="97"/>
          <w:sz w:val="32"/>
        </w:rPr>
        <w:t>费；本年更新、维护补充办公用品，导致机关运行经费较上年增加。</w:t>
      </w:r>
    </w:p>
    <w:p w14:paraId="2CAD0FE1">
      <w:pPr>
        <w:spacing w:line="640" w:lineRule="exact"/>
        <w:ind w:firstLine="640"/>
        <w:jc w:val="both"/>
        <w:outlineLvl w:val="3"/>
      </w:pPr>
      <w:r>
        <w:rPr>
          <w:rFonts w:ascii="楷体_GB2312" w:hAnsi="楷体_GB2312" w:eastAsia="楷体_GB2312"/>
          <w:b/>
          <w:sz w:val="32"/>
        </w:rPr>
        <w:t>（二）政府采购情况</w:t>
      </w:r>
    </w:p>
    <w:p w14:paraId="74EB83A4">
      <w:pPr>
        <w:spacing w:line="580" w:lineRule="exact"/>
        <w:ind w:firstLine="640"/>
        <w:jc w:val="both"/>
      </w:pPr>
      <w:r>
        <w:rPr>
          <w:rFonts w:ascii="仿宋_GB2312" w:hAnsi="仿宋_GB2312" w:eastAsia="仿宋_GB2312"/>
          <w:b w:val="0"/>
          <w:sz w:val="32"/>
        </w:rPr>
        <w:t>2024年度政府采购支出总额110.15万元，其中：政府采购货物支出71.36万元、政府采购工程支出0.00万元、政府采购服务支出38.79万元。</w:t>
      </w:r>
    </w:p>
    <w:p w14:paraId="7E453937">
      <w:pPr>
        <w:spacing w:line="580" w:lineRule="exact"/>
        <w:ind w:firstLine="640"/>
        <w:jc w:val="both"/>
      </w:pPr>
      <w:r>
        <w:rPr>
          <w:rFonts w:ascii="仿宋_GB2312" w:hAnsi="仿宋_GB2312" w:eastAsia="仿宋_GB2312"/>
          <w:b w:val="0"/>
          <w:sz w:val="32"/>
        </w:rPr>
        <w:t>授予中小企业合同金额110.15万元，占政府采购支出总额的100.00%，其中：授予小微企业合同金额110.15万元，占政府采购支出总额的100.00%。</w:t>
      </w:r>
    </w:p>
    <w:p w14:paraId="2B4CB6C4">
      <w:pPr>
        <w:spacing w:line="640" w:lineRule="exact"/>
        <w:ind w:firstLine="640"/>
        <w:jc w:val="both"/>
        <w:outlineLvl w:val="3"/>
      </w:pPr>
      <w:r>
        <w:rPr>
          <w:rFonts w:ascii="楷体_GB2312" w:hAnsi="楷体_GB2312" w:eastAsia="楷体_GB2312"/>
          <w:b/>
          <w:sz w:val="32"/>
        </w:rPr>
        <w:t>（三）国有资产占用情况说明</w:t>
      </w:r>
    </w:p>
    <w:p w14:paraId="2DD128EE">
      <w:pPr>
        <w:spacing w:line="580" w:lineRule="exact"/>
        <w:ind w:firstLine="640"/>
        <w:jc w:val="both"/>
      </w:pPr>
      <w:r>
        <w:rPr>
          <w:rFonts w:ascii="仿宋_GB2312" w:hAnsi="仿宋_GB2312" w:eastAsia="仿宋_GB2312"/>
          <w:b w:val="0"/>
          <w:sz w:val="32"/>
        </w:rPr>
        <w:t>截至2024年12月31日，房屋13,562.56平方米，价值4,193.95万元。车辆15辆，价值292.17万元，其中：副部（省）级及以上领导用车0辆、主要负责人用车0辆、机要通信用车0辆、应急保障用车0辆、执法执勤用车10辆、特种专业技术用车4辆、离退休干部服务用车0辆、其他用车1辆，其他用车主要是：一般公务用车。单价100万元（含）以上设备（不含车辆）0台（套）。</w:t>
      </w:r>
    </w:p>
    <w:p w14:paraId="642460D5">
      <w:pPr>
        <w:spacing w:line="640" w:lineRule="exact"/>
        <w:ind w:firstLine="640"/>
        <w:jc w:val="both"/>
        <w:outlineLvl w:val="2"/>
      </w:pPr>
      <w:r>
        <w:rPr>
          <w:rFonts w:ascii="黑体" w:hAnsi="黑体" w:eastAsia="黑体"/>
          <w:sz w:val="32"/>
        </w:rPr>
        <w:t>十一、预算绩效的情况说明</w:t>
      </w:r>
    </w:p>
    <w:p w14:paraId="082C25A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根据预算绩效管理要求，本单位2024年度预算绩效管理形成整体支出绩效自评表1个，全年预算总额2,478.65万元，实际执行总额2,438.40万元；预算绩效评价项目</w:t>
      </w:r>
      <w:r>
        <w:rPr>
          <w:rFonts w:hint="eastAsia" w:ascii="仿宋_GB2312" w:hAnsi="仿宋_GB2312" w:eastAsia="仿宋_GB2312"/>
          <w:b w:val="0"/>
          <w:sz w:val="32"/>
          <w:lang w:val="en-US" w:eastAsia="zh-CN"/>
        </w:rPr>
        <w:t>8</w:t>
      </w:r>
      <w:r>
        <w:rPr>
          <w:rFonts w:ascii="仿宋_GB2312" w:hAnsi="仿宋_GB2312" w:eastAsia="仿宋_GB2312"/>
          <w:b w:val="0"/>
          <w:sz w:val="32"/>
        </w:rPr>
        <w:t>个，全年预算数</w:t>
      </w:r>
      <w:r>
        <w:rPr>
          <w:rFonts w:hint="eastAsia" w:ascii="仿宋_GB2312" w:hAnsi="仿宋_GB2312" w:eastAsia="仿宋_GB2312"/>
          <w:b w:val="0"/>
          <w:sz w:val="32"/>
        </w:rPr>
        <w:t>467.37</w:t>
      </w:r>
      <w:r>
        <w:rPr>
          <w:rFonts w:ascii="仿宋_GB2312" w:hAnsi="仿宋_GB2312" w:eastAsia="仿宋_GB2312"/>
          <w:b w:val="0"/>
          <w:sz w:val="32"/>
        </w:rPr>
        <w:t>万元，全年执行数</w:t>
      </w:r>
      <w:r>
        <w:rPr>
          <w:rFonts w:hint="eastAsia" w:ascii="仿宋_GB2312" w:hAnsi="仿宋_GB2312" w:eastAsia="仿宋_GB2312"/>
          <w:b w:val="0"/>
          <w:sz w:val="32"/>
        </w:rPr>
        <w:t>467.37</w:t>
      </w:r>
      <w:r>
        <w:rPr>
          <w:rFonts w:ascii="仿宋_GB2312" w:hAnsi="仿宋_GB2312" w:eastAsia="仿宋_GB2312"/>
          <w:b w:val="0"/>
          <w:sz w:val="32"/>
        </w:rPr>
        <w:t>万元。预算绩效管理取得的成效：一是单位确定了单位绩效工作组织架构。办公室负责牵头建立绩效小组，研究制定各项绩效管理制度，组织协调绩效日常工作，认真执行项目绩效管理制度，落实相关工作要求。建立了部门预算管理办法、财务收支管理办法、固定资产管理办法、办公用品采购保管领用管理办法、采购管理办法、合同业务管理办法、会计业务管理办法等；二是2024年本单位预算编制坚持量入为出、保障重点的原则，对项目支出按照轻重缓急程度实行分类排序，统筹安排部门预算。2024年本单位安排项目预算时将项目支出进行细化，以实际需求等资料为依据进行测算。人员经费预算和公用经费预算均按照定额标准编制，预算与部门活动相匹配；三是2024年</w:t>
      </w:r>
      <w:r>
        <w:rPr>
          <w:rFonts w:hint="eastAsia" w:ascii="仿宋_GB2312" w:hAnsi="仿宋_GB2312" w:eastAsia="仿宋_GB2312"/>
          <w:b w:val="0"/>
          <w:sz w:val="32"/>
          <w:lang w:eastAsia="zh-CN"/>
        </w:rPr>
        <w:t>本单位</w:t>
      </w:r>
      <w:r>
        <w:rPr>
          <w:rFonts w:ascii="仿宋_GB2312" w:hAnsi="仿宋_GB2312" w:eastAsia="仿宋_GB2312"/>
          <w:b w:val="0"/>
          <w:sz w:val="32"/>
        </w:rPr>
        <w:t>牢固树立全面绩效管理理念，将预算绩效管理融入预算各类项目资金，将绩效理念融入预算各个层级，将绩效方法融入预算各项流程，严格按照政策要求编制部门整体支出绩效目标和项目支出绩效目标，切实实现预算编制有目标，确保了资金分配与绩效目标的一致性，实现预算绩效全覆盖。发现的问题及原因：一是单位内控职责不够细化，项目预算的绩效设定与实际的项目支出存在些许差距，争取在今后工作中准确把握项目资金支出，达到资金的最大效益；二是在资金申请工作中要积极主动联系财政部门确保资金及时落实到位，进一步按照国家有关财务规章制度规定加强资金使用管理，确保资金用到实处，工作有序</w:t>
      </w:r>
      <w:r>
        <w:rPr>
          <w:rFonts w:hint="eastAsia" w:ascii="仿宋_GB2312" w:hAnsi="仿宋_GB2312" w:eastAsia="仿宋_GB2312"/>
          <w:b w:val="0"/>
          <w:sz w:val="32"/>
          <w:lang w:eastAsia="zh-CN"/>
        </w:rPr>
        <w:t>地</w:t>
      </w:r>
      <w:r>
        <w:rPr>
          <w:rFonts w:ascii="仿宋_GB2312" w:hAnsi="仿宋_GB2312" w:eastAsia="仿宋_GB2312"/>
          <w:b w:val="0"/>
          <w:sz w:val="32"/>
        </w:rPr>
        <w:t>开展，加强自身建设，提高服务能力。下一步改进措施：一是加强统筹协调，提高各科室对预算绩效管理工作的认识度和重视度；加强培训力度，用通俗易懂的方式指导绩效目标的设定，确保预算绩效目标管理工作有效推进；二是细化预算编制工作，认真做好预算的编制。进一步加强单位内部机构的预算管理意识，严格按照预算编制的相关制度和要求进行预算编制；三是加强财务管理，严格财务审核。加强单位财务管理，健全单位财务管理制度体系，规范单位财务行为。在费用报账支付时，按照预算规定的费用项目和用途进行资金使用审核、列报支付、财务核算，杜绝超支现象的发生。具体附整体支出绩效自评表，项目支出绩效自评表和评价报告。</w:t>
      </w:r>
    </w:p>
    <w:p w14:paraId="1AC06D5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46583F8">
        <w:tblPrEx>
          <w:tblCellMar>
            <w:top w:w="0" w:type="dxa"/>
            <w:left w:w="108" w:type="dxa"/>
            <w:bottom w:w="0" w:type="dxa"/>
            <w:right w:w="108" w:type="dxa"/>
          </w:tblCellMar>
        </w:tblPrEx>
        <w:tc>
          <w:tcPr>
            <w:tcW w:w="8847" w:type="dxa"/>
            <w:gridSpan w:val="9"/>
            <w:vAlign w:val="center"/>
          </w:tcPr>
          <w:p w14:paraId="2A0BAD00">
            <w:pPr>
              <w:jc w:val="center"/>
            </w:pPr>
            <w:r>
              <w:rPr>
                <w:rFonts w:ascii="宋体" w:hAnsi="宋体" w:eastAsia="宋体"/>
                <w:sz w:val="24"/>
              </w:rPr>
              <w:t>单位整体支出绩效自评表</w:t>
            </w:r>
          </w:p>
        </w:tc>
      </w:tr>
      <w:tr w14:paraId="0C445D8D">
        <w:tblPrEx>
          <w:tblCellMar>
            <w:top w:w="0" w:type="dxa"/>
            <w:left w:w="108" w:type="dxa"/>
            <w:bottom w:w="0" w:type="dxa"/>
            <w:right w:w="108" w:type="dxa"/>
          </w:tblCellMar>
        </w:tblPrEx>
        <w:tc>
          <w:tcPr>
            <w:tcW w:w="8847" w:type="dxa"/>
            <w:gridSpan w:val="9"/>
            <w:vAlign w:val="center"/>
          </w:tcPr>
          <w:p w14:paraId="7482EF73">
            <w:pPr>
              <w:jc w:val="center"/>
            </w:pPr>
            <w:r>
              <w:rPr>
                <w:rFonts w:ascii="宋体" w:hAnsi="宋体" w:eastAsia="宋体"/>
                <w:sz w:val="24"/>
              </w:rPr>
              <w:t>（2024年度）</w:t>
            </w:r>
          </w:p>
        </w:tc>
      </w:tr>
      <w:tr w14:paraId="02EDF6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B471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69D7F75">
            <w:pPr>
              <w:jc w:val="center"/>
            </w:pPr>
            <w:r>
              <w:rPr>
                <w:rFonts w:ascii="宋体" w:hAnsi="宋体" w:eastAsia="宋体"/>
                <w:sz w:val="16"/>
              </w:rPr>
              <w:t>阜康市人民法院</w:t>
            </w:r>
          </w:p>
        </w:tc>
      </w:tr>
      <w:tr w14:paraId="1422C4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17C5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BA28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8EC7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FAA0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A432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76C5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A188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0EC5A">
            <w:pPr>
              <w:jc w:val="center"/>
            </w:pPr>
            <w:r>
              <w:rPr>
                <w:rFonts w:ascii="宋体" w:hAnsi="宋体" w:eastAsia="宋体"/>
                <w:sz w:val="16"/>
              </w:rPr>
              <w:t>得分</w:t>
            </w:r>
          </w:p>
        </w:tc>
      </w:tr>
      <w:tr w14:paraId="41E8CA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6D627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71C07">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0CEAA">
            <w:pPr>
              <w:jc w:val="center"/>
            </w:pPr>
            <w:r>
              <w:rPr>
                <w:rFonts w:ascii="宋体" w:hAnsi="宋体" w:eastAsia="宋体"/>
                <w:sz w:val="16"/>
              </w:rPr>
              <w:t>393.48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867BD">
            <w:pPr>
              <w:jc w:val="center"/>
            </w:pPr>
            <w:r>
              <w:rPr>
                <w:rFonts w:ascii="宋体" w:hAnsi="宋体" w:eastAsia="宋体"/>
                <w:sz w:val="16"/>
              </w:rPr>
              <w:t>436.42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E52DA">
            <w:pPr>
              <w:jc w:val="center"/>
            </w:pPr>
            <w:r>
              <w:rPr>
                <w:rFonts w:ascii="宋体" w:hAnsi="宋体" w:eastAsia="宋体"/>
                <w:sz w:val="16"/>
              </w:rPr>
              <w:t>436.42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73E6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0FE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6E97B">
            <w:pPr>
              <w:jc w:val="center"/>
            </w:pPr>
            <w:r>
              <w:rPr>
                <w:rFonts w:ascii="宋体" w:hAnsi="宋体" w:eastAsia="宋体"/>
                <w:sz w:val="16"/>
              </w:rPr>
              <w:t>-</w:t>
            </w:r>
          </w:p>
        </w:tc>
      </w:tr>
      <w:tr w14:paraId="7A1D3C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01FC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31FB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ACBF3">
            <w:pPr>
              <w:jc w:val="center"/>
            </w:pPr>
            <w:r>
              <w:rPr>
                <w:rFonts w:ascii="宋体" w:hAnsi="宋体" w:eastAsia="宋体"/>
                <w:sz w:val="16"/>
              </w:rPr>
              <w:t>1,902.61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066D0">
            <w:pPr>
              <w:jc w:val="center"/>
            </w:pPr>
            <w:r>
              <w:rPr>
                <w:rFonts w:ascii="宋体" w:hAnsi="宋体" w:eastAsia="宋体"/>
                <w:sz w:val="16"/>
              </w:rPr>
              <w:t>1,971.98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8CD50">
            <w:pPr>
              <w:jc w:val="center"/>
            </w:pPr>
            <w:r>
              <w:rPr>
                <w:rFonts w:ascii="宋体" w:hAnsi="宋体" w:eastAsia="宋体"/>
                <w:sz w:val="16"/>
              </w:rPr>
              <w:t>1,971.98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506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421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468D3">
            <w:pPr>
              <w:jc w:val="center"/>
            </w:pPr>
            <w:r>
              <w:rPr>
                <w:rFonts w:ascii="宋体" w:hAnsi="宋体" w:eastAsia="宋体"/>
                <w:sz w:val="16"/>
              </w:rPr>
              <w:t>-</w:t>
            </w:r>
          </w:p>
        </w:tc>
      </w:tr>
      <w:tr w14:paraId="612ABA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ED80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AB2E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BC83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39BAD">
            <w:pPr>
              <w:jc w:val="center"/>
            </w:pPr>
            <w:r>
              <w:rPr>
                <w:rFonts w:ascii="宋体" w:hAnsi="宋体" w:eastAsia="宋体"/>
                <w:sz w:val="16"/>
              </w:rPr>
              <w:t>70.25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DBF37">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0F0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596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62017">
            <w:pPr>
              <w:jc w:val="center"/>
            </w:pPr>
            <w:r>
              <w:rPr>
                <w:rFonts w:ascii="宋体" w:hAnsi="宋体" w:eastAsia="宋体"/>
                <w:sz w:val="16"/>
              </w:rPr>
              <w:t>-</w:t>
            </w:r>
          </w:p>
        </w:tc>
      </w:tr>
      <w:tr w14:paraId="4807B9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A183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49F5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284DA">
            <w:pPr>
              <w:jc w:val="center"/>
            </w:pPr>
            <w:r>
              <w:rPr>
                <w:rFonts w:ascii="宋体" w:hAnsi="宋体" w:eastAsia="宋体"/>
                <w:sz w:val="16"/>
              </w:rPr>
              <w:t>2,296.09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4EEBA">
            <w:pPr>
              <w:jc w:val="center"/>
            </w:pPr>
            <w:r>
              <w:rPr>
                <w:rFonts w:ascii="宋体" w:hAnsi="宋体" w:eastAsia="宋体"/>
                <w:sz w:val="16"/>
              </w:rPr>
              <w:t>2,478.65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FFEA0">
            <w:pPr>
              <w:jc w:val="center"/>
            </w:pPr>
            <w:r>
              <w:rPr>
                <w:rFonts w:ascii="宋体" w:hAnsi="宋体" w:eastAsia="宋体"/>
                <w:sz w:val="16"/>
              </w:rPr>
              <w:t>2,438.40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2DF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D0567">
            <w:pPr>
              <w:jc w:val="center"/>
            </w:pPr>
            <w:r>
              <w:rPr>
                <w:rFonts w:ascii="宋体" w:hAnsi="宋体" w:eastAsia="宋体"/>
                <w:sz w:val="16"/>
              </w:rPr>
              <w:t>98.38%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4EC45">
            <w:pPr>
              <w:jc w:val="center"/>
            </w:pPr>
            <w:r>
              <w:rPr>
                <w:rFonts w:ascii="宋体" w:hAnsi="宋体" w:eastAsia="宋体"/>
                <w:sz w:val="16"/>
              </w:rPr>
              <w:t>9.84</w:t>
            </w:r>
          </w:p>
        </w:tc>
      </w:tr>
      <w:tr w14:paraId="04AEB22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FF635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8B7C1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8A5092">
            <w:pPr>
              <w:jc w:val="center"/>
            </w:pPr>
            <w:r>
              <w:rPr>
                <w:rFonts w:ascii="宋体" w:hAnsi="宋体" w:eastAsia="宋体"/>
                <w:sz w:val="16"/>
              </w:rPr>
              <w:t>实际完成情况</w:t>
            </w:r>
          </w:p>
        </w:tc>
      </w:tr>
      <w:tr w14:paraId="2DD9CA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9B75A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F56BFA">
            <w:pPr>
              <w:jc w:val="both"/>
            </w:pPr>
            <w:r>
              <w:rPr>
                <w:rFonts w:ascii="宋体" w:hAnsi="宋体" w:eastAsia="宋体"/>
                <w:sz w:val="16"/>
              </w:rPr>
              <w:t>法院作为国家审判机关，主要职责是依法行使审判权，包括民事案件、刑事案件和行政案件的审判。法院保障在职人员、退休人员的正常办公、生活秩序。确保各项业务工作有序推进，促进审判、执行工作发展。法院以服务为要务，以司法为民为宗旨，以“努力让人民群众在每一个司法案件中感受到公平正义”。通过审判活动惩办犯罪分子，解决纠纷，保护公民的权利和财产，维护社会秩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77B7C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全年预算数2,478.65万元，全年执行数2,438.40万元，总预算执行率98.38%。2024年</w:t>
            </w:r>
            <w:r>
              <w:rPr>
                <w:rFonts w:hint="eastAsia" w:ascii="宋体" w:hAnsi="宋体"/>
                <w:sz w:val="16"/>
                <w:lang w:eastAsia="zh-CN"/>
              </w:rPr>
              <w:t>本单位</w:t>
            </w:r>
            <w:r>
              <w:rPr>
                <w:rFonts w:ascii="宋体" w:hAnsi="宋体" w:eastAsia="宋体"/>
                <w:sz w:val="16"/>
              </w:rPr>
              <w:t>完成以下工作内容：1、政治理论学习全年完成12次；2、按季度进行绩效考核，认真核算完成绩效发放；3、审限内结案率98.47%;4、调解率本年达到43.21%；通过以上工作的实施，本年上诉率9.57%，达到本年预期指标，较好</w:t>
            </w:r>
            <w:r>
              <w:rPr>
                <w:rFonts w:hint="eastAsia" w:ascii="宋体" w:hAnsi="宋体"/>
                <w:sz w:val="16"/>
                <w:lang w:eastAsia="zh-CN"/>
              </w:rPr>
              <w:t>地</w:t>
            </w:r>
            <w:r>
              <w:rPr>
                <w:rFonts w:ascii="宋体" w:hAnsi="宋体" w:eastAsia="宋体"/>
                <w:sz w:val="16"/>
              </w:rPr>
              <w:t>解决了社会纠纷，更好地为人民群众服务。</w:t>
            </w:r>
          </w:p>
        </w:tc>
      </w:tr>
      <w:tr w14:paraId="701AEAB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DBFA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62DF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425B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23CE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799B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4C3E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8C9C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440E6A">
            <w:pPr>
              <w:jc w:val="center"/>
            </w:pPr>
            <w:r>
              <w:rPr>
                <w:rFonts w:ascii="宋体" w:hAnsi="宋体" w:eastAsia="宋体"/>
                <w:sz w:val="16"/>
              </w:rPr>
              <w:t>得分</w:t>
            </w:r>
          </w:p>
        </w:tc>
      </w:tr>
      <w:tr w14:paraId="758D58A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CE3836">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8D81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302E8">
            <w:pPr>
              <w:jc w:val="center"/>
            </w:pPr>
            <w:r>
              <w:rPr>
                <w:rFonts w:ascii="宋体" w:hAnsi="宋体" w:eastAsia="宋体"/>
                <w:sz w:val="16"/>
              </w:rPr>
              <w:t>政治理论学习次数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0CFBD">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1EBF4">
            <w:pPr>
              <w:jc w:val="center"/>
            </w:pPr>
            <w:r>
              <w:rPr>
                <w:rFonts w:ascii="宋体" w:hAnsi="宋体" w:eastAsia="宋体"/>
                <w:sz w:val="16"/>
              </w:rPr>
              <w:t>阜康市人民法院2024年工作计划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A6B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6388E">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CB457">
            <w:pPr>
              <w:jc w:val="center"/>
            </w:pPr>
            <w:r>
              <w:rPr>
                <w:rFonts w:ascii="宋体" w:hAnsi="宋体" w:eastAsia="宋体"/>
                <w:sz w:val="16"/>
              </w:rPr>
              <w:t>10</w:t>
            </w:r>
          </w:p>
        </w:tc>
      </w:tr>
      <w:tr w14:paraId="4FCDC7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B088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B232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14A4A">
            <w:pPr>
              <w:jc w:val="center"/>
            </w:pPr>
            <w:r>
              <w:rPr>
                <w:rFonts w:ascii="宋体" w:hAnsi="宋体" w:eastAsia="宋体"/>
                <w:sz w:val="16"/>
              </w:rPr>
              <w:t>季度考核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2A9DE">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6322F">
            <w:pPr>
              <w:jc w:val="center"/>
            </w:pPr>
            <w:r>
              <w:rPr>
                <w:rFonts w:ascii="宋体" w:hAnsi="宋体" w:eastAsia="宋体"/>
                <w:sz w:val="16"/>
              </w:rPr>
              <w:t>阜康市人民法院2024年工作计划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5C36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20837">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A2F22">
            <w:pPr>
              <w:jc w:val="center"/>
            </w:pPr>
            <w:r>
              <w:rPr>
                <w:rFonts w:ascii="宋体" w:hAnsi="宋体" w:eastAsia="宋体"/>
                <w:sz w:val="16"/>
              </w:rPr>
              <w:t>20</w:t>
            </w:r>
          </w:p>
        </w:tc>
      </w:tr>
      <w:tr w14:paraId="64E0B8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BF9A5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4AF391">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A2BF6">
            <w:pPr>
              <w:jc w:val="center"/>
            </w:pPr>
            <w:r>
              <w:rPr>
                <w:rFonts w:ascii="宋体" w:hAnsi="宋体" w:eastAsia="宋体"/>
                <w:sz w:val="16"/>
              </w:rPr>
              <w:t>上诉案件移送时间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1BC59">
            <w:pPr>
              <w:jc w:val="center"/>
            </w:pPr>
            <w:r>
              <w:rPr>
                <w:rFonts w:ascii="宋体" w:hAnsi="宋体" w:eastAsia="宋体"/>
                <w:sz w:val="16"/>
              </w:rPr>
              <w:t>&lt;=85天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990D5">
            <w:pPr>
              <w:jc w:val="center"/>
            </w:pPr>
            <w:r>
              <w:rPr>
                <w:rFonts w:ascii="宋体" w:hAnsi="宋体" w:eastAsia="宋体"/>
                <w:sz w:val="16"/>
              </w:rPr>
              <w:t>人民法院审判质量管理指标体系（2024年版）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6FF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620A6">
            <w:pPr>
              <w:jc w:val="center"/>
            </w:pPr>
            <w:r>
              <w:rPr>
                <w:rFonts w:ascii="宋体" w:hAnsi="宋体" w:eastAsia="宋体"/>
                <w:sz w:val="16"/>
              </w:rPr>
              <w:t>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60558">
            <w:pPr>
              <w:jc w:val="center"/>
            </w:pPr>
            <w:r>
              <w:rPr>
                <w:rFonts w:ascii="宋体" w:hAnsi="宋体" w:eastAsia="宋体"/>
                <w:sz w:val="16"/>
              </w:rPr>
              <w:t>0</w:t>
            </w:r>
          </w:p>
        </w:tc>
      </w:tr>
      <w:tr w14:paraId="5E6B7C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6B8A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063E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E6555">
            <w:pPr>
              <w:jc w:val="center"/>
            </w:pPr>
            <w:r>
              <w:rPr>
                <w:rFonts w:ascii="宋体" w:hAnsi="宋体" w:eastAsia="宋体"/>
                <w:sz w:val="16"/>
              </w:rPr>
              <w:t>审限内结案率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084D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32990">
            <w:pPr>
              <w:jc w:val="center"/>
            </w:pPr>
            <w:r>
              <w:rPr>
                <w:rFonts w:ascii="宋体" w:hAnsi="宋体" w:eastAsia="宋体"/>
                <w:sz w:val="16"/>
              </w:rPr>
              <w:t>人民法院审判质量管理指标体系（2024年版）设立指标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6955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47A10">
            <w:pPr>
              <w:jc w:val="center"/>
            </w:pPr>
            <w:r>
              <w:rPr>
                <w:rFonts w:ascii="宋体" w:hAnsi="宋体" w:eastAsia="宋体"/>
                <w:sz w:val="16"/>
              </w:rPr>
              <w:t>98.47%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218F1">
            <w:pPr>
              <w:jc w:val="center"/>
            </w:pPr>
            <w:r>
              <w:rPr>
                <w:rFonts w:ascii="宋体" w:hAnsi="宋体" w:eastAsia="宋体"/>
                <w:sz w:val="16"/>
              </w:rPr>
              <w:t>20</w:t>
            </w:r>
          </w:p>
        </w:tc>
      </w:tr>
      <w:tr w14:paraId="0FAC7A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EFF18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8A8BA">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C67B8">
            <w:pPr>
              <w:jc w:val="center"/>
            </w:pPr>
            <w:r>
              <w:rPr>
                <w:rFonts w:ascii="宋体" w:hAnsi="宋体" w:eastAsia="宋体"/>
                <w:sz w:val="16"/>
              </w:rPr>
              <w:t>调解率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CD5BD">
            <w:pPr>
              <w:jc w:val="center"/>
            </w:pPr>
            <w:r>
              <w:rPr>
                <w:rFonts w:ascii="宋体" w:hAnsi="宋体" w:eastAsia="宋体"/>
                <w:sz w:val="16"/>
              </w:rPr>
              <w:t>&gt;=19%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DC93D">
            <w:pPr>
              <w:jc w:val="center"/>
            </w:pPr>
            <w:r>
              <w:rPr>
                <w:rFonts w:ascii="宋体" w:hAnsi="宋体" w:eastAsia="宋体"/>
                <w:sz w:val="16"/>
              </w:rPr>
              <w:t>人民法院审判质量管理指标体系（2024年版）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A74C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99E4F">
            <w:pPr>
              <w:jc w:val="center"/>
            </w:pPr>
            <w:r>
              <w:rPr>
                <w:rFonts w:ascii="宋体" w:hAnsi="宋体" w:eastAsia="宋体"/>
                <w:sz w:val="16"/>
              </w:rPr>
              <w:t>43.21%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293C0">
            <w:pPr>
              <w:jc w:val="center"/>
            </w:pPr>
            <w:r>
              <w:rPr>
                <w:rFonts w:ascii="宋体" w:hAnsi="宋体" w:eastAsia="宋体"/>
                <w:sz w:val="16"/>
              </w:rPr>
              <w:t>10</w:t>
            </w:r>
          </w:p>
        </w:tc>
      </w:tr>
      <w:tr w14:paraId="2EA985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EBD796">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4B4F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09A46">
            <w:pPr>
              <w:jc w:val="center"/>
            </w:pPr>
            <w:r>
              <w:rPr>
                <w:rFonts w:ascii="宋体" w:hAnsi="宋体" w:eastAsia="宋体"/>
                <w:sz w:val="16"/>
              </w:rPr>
              <w:t>上诉率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1ECD3">
            <w:pPr>
              <w:jc w:val="center"/>
            </w:pPr>
            <w:r>
              <w:rPr>
                <w:rFonts w:ascii="宋体" w:hAnsi="宋体" w:eastAsia="宋体"/>
                <w:sz w:val="16"/>
              </w:rPr>
              <w:t>&lt;=12%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73271">
            <w:pPr>
              <w:jc w:val="center"/>
            </w:pPr>
            <w:r>
              <w:rPr>
                <w:rFonts w:ascii="宋体" w:hAnsi="宋体" w:eastAsia="宋体"/>
                <w:sz w:val="16"/>
              </w:rPr>
              <w:t>人民法院审判质量管理指标体系（2024年版）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A22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7A29B">
            <w:pPr>
              <w:jc w:val="center"/>
            </w:pPr>
            <w:r>
              <w:rPr>
                <w:rFonts w:ascii="宋体" w:hAnsi="宋体" w:eastAsia="宋体"/>
                <w:sz w:val="16"/>
              </w:rPr>
              <w:t>9.57%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BE8DF">
            <w:pPr>
              <w:jc w:val="center"/>
            </w:pPr>
            <w:r>
              <w:rPr>
                <w:rFonts w:ascii="宋体" w:hAnsi="宋体" w:eastAsia="宋体"/>
                <w:sz w:val="16"/>
              </w:rPr>
              <w:t>10</w:t>
            </w:r>
          </w:p>
        </w:tc>
      </w:tr>
      <w:tr w14:paraId="089B0C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1EB1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4040C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450D3">
            <w:pPr>
              <w:jc w:val="center"/>
            </w:pPr>
            <w:r>
              <w:rPr>
                <w:rFonts w:ascii="宋体" w:hAnsi="宋体" w:eastAsia="宋体"/>
                <w:sz w:val="16"/>
              </w:rPr>
              <w:t>司法建议反馈率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B79D0">
            <w:pPr>
              <w:jc w:val="center"/>
            </w:pPr>
            <w:r>
              <w:rPr>
                <w:rFonts w:ascii="宋体" w:hAnsi="宋体" w:eastAsia="宋体"/>
                <w:sz w:val="16"/>
              </w:rPr>
              <w:t>&gt;=75%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AB155">
            <w:pPr>
              <w:jc w:val="center"/>
            </w:pPr>
            <w:r>
              <w:rPr>
                <w:rFonts w:ascii="宋体" w:hAnsi="宋体" w:eastAsia="宋体"/>
                <w:sz w:val="16"/>
              </w:rPr>
              <w:t>人民法院审判质量管理指标体系（2024年版）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18D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EAB1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9DAB6">
            <w:pPr>
              <w:jc w:val="center"/>
            </w:pPr>
            <w:r>
              <w:rPr>
                <w:rFonts w:ascii="宋体" w:hAnsi="宋体" w:eastAsia="宋体"/>
                <w:sz w:val="16"/>
              </w:rPr>
              <w:t>0</w:t>
            </w:r>
          </w:p>
        </w:tc>
      </w:tr>
    </w:tbl>
    <w:p w14:paraId="1D7A8A6B">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96"/>
        <w:gridCol w:w="612"/>
        <w:gridCol w:w="696"/>
        <w:gridCol w:w="776"/>
        <w:gridCol w:w="776"/>
        <w:gridCol w:w="630"/>
        <w:gridCol w:w="603"/>
        <w:gridCol w:w="603"/>
        <w:gridCol w:w="605"/>
        <w:gridCol w:w="605"/>
        <w:gridCol w:w="631"/>
      </w:tblGrid>
      <w:tr w14:paraId="2267C019">
        <w:tblPrEx>
          <w:tblCellMar>
            <w:top w:w="0" w:type="dxa"/>
            <w:left w:w="108" w:type="dxa"/>
            <w:bottom w:w="0" w:type="dxa"/>
            <w:right w:w="108" w:type="dxa"/>
          </w:tblCellMar>
        </w:tblPrEx>
        <w:tc>
          <w:tcPr>
            <w:tcW w:w="8848" w:type="dxa"/>
            <w:gridSpan w:val="14"/>
            <w:vAlign w:val="center"/>
          </w:tcPr>
          <w:p w14:paraId="48D38102">
            <w:pPr>
              <w:jc w:val="center"/>
            </w:pPr>
            <w:r>
              <w:rPr>
                <w:rFonts w:ascii="宋体" w:hAnsi="宋体" w:eastAsia="宋体"/>
                <w:sz w:val="24"/>
              </w:rPr>
              <w:t>项目支出绩效自评表</w:t>
            </w:r>
          </w:p>
        </w:tc>
      </w:tr>
      <w:tr w14:paraId="436C368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5F97AF">
            <w:pPr>
              <w:jc w:val="center"/>
            </w:pPr>
            <w:r>
              <w:rPr>
                <w:rFonts w:ascii="宋体" w:hAnsi="宋体" w:eastAsia="宋体"/>
                <w:sz w:val="24"/>
              </w:rPr>
              <w:t>(2024年度)</w:t>
            </w:r>
          </w:p>
        </w:tc>
      </w:tr>
      <w:tr w14:paraId="1F17B4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5231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07DDC4">
            <w:pPr>
              <w:jc w:val="center"/>
            </w:pPr>
            <w:r>
              <w:rPr>
                <w:rFonts w:ascii="宋体" w:hAnsi="宋体" w:eastAsia="宋体"/>
                <w:sz w:val="16"/>
              </w:rPr>
              <w:t>2024年为民办实事工作队经费</w:t>
            </w:r>
          </w:p>
        </w:tc>
      </w:tr>
      <w:tr w14:paraId="12BD5E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2D9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1C227A">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3CD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E4C60D">
            <w:pPr>
              <w:jc w:val="center"/>
            </w:pPr>
            <w:r>
              <w:rPr>
                <w:rFonts w:ascii="宋体" w:hAnsi="宋体" w:eastAsia="宋体"/>
                <w:sz w:val="16"/>
              </w:rPr>
              <w:t>阜康市人民法院</w:t>
            </w:r>
          </w:p>
        </w:tc>
      </w:tr>
      <w:tr w14:paraId="5A241D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CA32F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E929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1CC1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20E7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23C1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7E8A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651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F8F8D">
            <w:pPr>
              <w:jc w:val="center"/>
            </w:pPr>
            <w:r>
              <w:rPr>
                <w:rFonts w:ascii="宋体" w:hAnsi="宋体" w:eastAsia="宋体"/>
                <w:sz w:val="16"/>
              </w:rPr>
              <w:t>得分</w:t>
            </w:r>
          </w:p>
        </w:tc>
      </w:tr>
      <w:tr w14:paraId="0F11F9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3BB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B373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D3FD2">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F7862">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F2FDB">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FB97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474F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D72AF">
            <w:pPr>
              <w:jc w:val="center"/>
            </w:pPr>
            <w:r>
              <w:rPr>
                <w:rFonts w:ascii="宋体" w:hAnsi="宋体" w:eastAsia="宋体"/>
                <w:sz w:val="16"/>
              </w:rPr>
              <w:t>10.00</w:t>
            </w:r>
          </w:p>
        </w:tc>
      </w:tr>
      <w:tr w14:paraId="1C722E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76B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DC8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096C3">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8C875">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11F52">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ADB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CE6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B81D8">
            <w:pPr>
              <w:jc w:val="center"/>
            </w:pPr>
            <w:r>
              <w:rPr>
                <w:rFonts w:ascii="宋体" w:hAnsi="宋体" w:eastAsia="宋体"/>
                <w:sz w:val="16"/>
              </w:rPr>
              <w:t>—</w:t>
            </w:r>
          </w:p>
        </w:tc>
      </w:tr>
      <w:tr w14:paraId="616592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24C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C3AE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F4D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D35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BBE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717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660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1704E">
            <w:pPr>
              <w:jc w:val="center"/>
            </w:pPr>
            <w:r>
              <w:rPr>
                <w:rFonts w:ascii="宋体" w:hAnsi="宋体" w:eastAsia="宋体"/>
                <w:sz w:val="16"/>
              </w:rPr>
              <w:t>—</w:t>
            </w:r>
          </w:p>
        </w:tc>
      </w:tr>
      <w:tr w14:paraId="28F9CA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3245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7B15F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596591">
            <w:pPr>
              <w:jc w:val="center"/>
            </w:pPr>
            <w:r>
              <w:rPr>
                <w:rFonts w:ascii="宋体" w:hAnsi="宋体" w:eastAsia="宋体"/>
                <w:sz w:val="16"/>
              </w:rPr>
              <w:t>实际完成情况</w:t>
            </w:r>
          </w:p>
        </w:tc>
      </w:tr>
      <w:tr w14:paraId="7379E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926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82CE91">
            <w:pPr>
              <w:jc w:val="both"/>
            </w:pPr>
            <w:r>
              <w:rPr>
                <w:rFonts w:ascii="宋体" w:hAnsi="宋体" w:eastAsia="宋体"/>
                <w:sz w:val="16"/>
              </w:rPr>
              <w:t>阜康市人民法院作为国家审判机关，依法独立行使审判权，同时宣传法制、教育公民</w:t>
            </w:r>
            <w:r>
              <w:rPr>
                <w:rFonts w:hint="eastAsia" w:ascii="宋体" w:hAnsi="宋体"/>
                <w:sz w:val="16"/>
                <w:lang w:eastAsia="zh-CN"/>
              </w:rPr>
              <w:t>自觉遵守</w:t>
            </w:r>
            <w:r>
              <w:rPr>
                <w:rFonts w:ascii="宋体" w:hAnsi="宋体" w:eastAsia="宋体"/>
                <w:sz w:val="16"/>
              </w:rPr>
              <w:t>宪法和法律。目标：阜康法院访汇聚工作队以解决群众最关心、最直接、最现实的利益问题为导向，以千方百计解决群众生产生活中的实际困难为目的，充分发挥好为民办实事好事经费的作用，使各族群众切身感受到党和政府的温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74141E">
            <w:pPr>
              <w:jc w:val="both"/>
            </w:pPr>
            <w:r>
              <w:rPr>
                <w:rFonts w:ascii="宋体" w:hAnsi="宋体" w:eastAsia="宋体"/>
                <w:sz w:val="16"/>
              </w:rPr>
              <w:t>截至2024年12月31日，</w:t>
            </w:r>
            <w:r>
              <w:rPr>
                <w:rFonts w:hint="eastAsia" w:ascii="宋体" w:hAnsi="宋体"/>
                <w:sz w:val="16"/>
                <w:lang w:val="en-US" w:eastAsia="zh-CN"/>
              </w:rPr>
              <w:t>为民办实事</w:t>
            </w:r>
            <w:r>
              <w:rPr>
                <w:rFonts w:ascii="宋体" w:hAnsi="宋体" w:eastAsia="宋体"/>
                <w:sz w:val="16"/>
              </w:rPr>
              <w:t>工作队开展基层避险能力专题讲座、重阳节慰问老人活动、开展六一活动参观新疆科技馆、端午福利慰问等。惠及人数71人，惠及片区5个，困难群众救助补助覆盖率6.56%，工作队经费拨付率达到79.44%</w:t>
            </w:r>
            <w:r>
              <w:rPr>
                <w:rFonts w:hint="eastAsia" w:ascii="宋体" w:hAnsi="宋体"/>
                <w:sz w:val="16"/>
                <w:lang w:eastAsia="zh-CN"/>
              </w:rPr>
              <w:t>，</w:t>
            </w:r>
            <w:r>
              <w:rPr>
                <w:rFonts w:ascii="宋体" w:hAnsi="宋体" w:eastAsia="宋体"/>
                <w:sz w:val="16"/>
              </w:rPr>
              <w:t>通过该项目的实施基本解决了急难愁盼的困难问题。</w:t>
            </w:r>
            <w:r>
              <w:rPr>
                <w:rFonts w:ascii="宋体" w:hAnsi="宋体" w:eastAsia="宋体"/>
                <w:sz w:val="16"/>
              </w:rPr>
              <w:br w:type="textWrapping"/>
            </w:r>
            <w:r>
              <w:rPr>
                <w:rFonts w:ascii="宋体" w:hAnsi="宋体" w:eastAsia="宋体"/>
                <w:sz w:val="16"/>
              </w:rPr>
              <w:br w:type="textWrapping"/>
            </w:r>
          </w:p>
        </w:tc>
      </w:tr>
      <w:tr w14:paraId="58DF0A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A640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2A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4DA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2AF2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8934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8DE4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D577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2A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C5A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5DFB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975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42F6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B3F2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1B3DE">
            <w:pPr>
              <w:jc w:val="center"/>
            </w:pPr>
            <w:r>
              <w:rPr>
                <w:rFonts w:ascii="宋体" w:hAnsi="宋体" w:eastAsia="宋体"/>
                <w:sz w:val="16"/>
              </w:rPr>
              <w:t>偏差原因分析及改进措施</w:t>
            </w:r>
          </w:p>
        </w:tc>
      </w:tr>
      <w:tr w14:paraId="4716F2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15FFD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538E9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C8B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C8F3D">
            <w:pPr>
              <w:jc w:val="center"/>
            </w:pPr>
            <w:r>
              <w:rPr>
                <w:rFonts w:hint="eastAsia" w:ascii="宋体" w:hAnsi="宋体"/>
                <w:sz w:val="16"/>
                <w:lang w:val="en-US" w:eastAsia="zh-CN"/>
              </w:rPr>
              <w:t>为民办实事</w:t>
            </w:r>
            <w:r>
              <w:rPr>
                <w:rFonts w:ascii="宋体" w:hAnsi="宋体" w:eastAsia="宋体"/>
                <w:sz w:val="16"/>
              </w:rPr>
              <w:t>惠及人数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02D0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06CB">
            <w:pPr>
              <w:jc w:val="center"/>
            </w:pPr>
            <w:r>
              <w:rPr>
                <w:rFonts w:ascii="宋体" w:hAnsi="宋体" w:eastAsia="宋体"/>
                <w:sz w:val="16"/>
              </w:rPr>
              <w:t>&gt;=66人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34F15">
            <w:pPr>
              <w:jc w:val="center"/>
            </w:pPr>
            <w:r>
              <w:rPr>
                <w:rFonts w:ascii="宋体" w:hAnsi="宋体" w:eastAsia="宋体"/>
                <w:sz w:val="16"/>
              </w:rPr>
              <w:t>=77人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6BEFD">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90BDC">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F8D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42D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345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C8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E0E06">
            <w:pPr>
              <w:jc w:val="center"/>
            </w:pPr>
            <w:r>
              <w:rPr>
                <w:rFonts w:hint="eastAsia" w:ascii="宋体" w:hAnsi="宋体"/>
                <w:sz w:val="16"/>
                <w:lang w:val="en-US" w:eastAsia="zh-CN"/>
              </w:rPr>
              <w:t>为民办实事</w:t>
            </w:r>
            <w:r>
              <w:rPr>
                <w:rFonts w:ascii="宋体" w:hAnsi="宋体" w:eastAsia="宋体"/>
                <w:sz w:val="16"/>
              </w:rPr>
              <w:t>工作队认真履责，切实保障村民权益，惠及人数超过预期指标。</w:t>
            </w:r>
          </w:p>
        </w:tc>
      </w:tr>
      <w:tr w14:paraId="220B05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FFD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B37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322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07345">
            <w:pPr>
              <w:jc w:val="center"/>
            </w:pPr>
            <w:r>
              <w:rPr>
                <w:rFonts w:ascii="宋体" w:hAnsi="宋体" w:eastAsia="宋体"/>
                <w:sz w:val="16"/>
              </w:rPr>
              <w:t>补助惠及（片区）数量（个）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A9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988B">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8183F">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9A3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30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12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924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7A7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EEE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7504">
            <w:pPr>
              <w:jc w:val="center"/>
            </w:pPr>
          </w:p>
        </w:tc>
      </w:tr>
      <w:tr w14:paraId="11CC63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3D0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1C1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5135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FA9F0">
            <w:pPr>
              <w:jc w:val="center"/>
            </w:pPr>
            <w:r>
              <w:rPr>
                <w:rFonts w:ascii="宋体" w:hAnsi="宋体" w:eastAsia="宋体"/>
                <w:sz w:val="16"/>
              </w:rPr>
              <w:t>困难群众救助补助覆盖率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091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C3662">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A988">
            <w:pPr>
              <w:jc w:val="center"/>
            </w:pPr>
            <w:r>
              <w:rPr>
                <w:rFonts w:ascii="宋体" w:hAnsi="宋体" w:eastAsia="宋体"/>
                <w:sz w:val="16"/>
              </w:rPr>
              <w:t>=6.56%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DF4C5">
            <w:pPr>
              <w:jc w:val="center"/>
            </w:pPr>
            <w:r>
              <w:rPr>
                <w:rFonts w:ascii="宋体" w:hAnsi="宋体" w:eastAsia="宋体"/>
                <w:sz w:val="16"/>
              </w:rPr>
              <w:t>131.2%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FFC3">
            <w:pPr>
              <w:jc w:val="center"/>
            </w:pPr>
            <w:r>
              <w:rPr>
                <w:rFonts w:ascii="宋体" w:hAnsi="宋体" w:eastAsia="宋体"/>
                <w:sz w:val="16"/>
              </w:rPr>
              <w:t>6.88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7F8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714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13C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74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75B47">
            <w:pPr>
              <w:jc w:val="center"/>
            </w:pPr>
            <w:r>
              <w:rPr>
                <w:rFonts w:hint="eastAsia" w:ascii="宋体" w:hAnsi="宋体"/>
                <w:sz w:val="16"/>
                <w:lang w:val="en-US" w:eastAsia="zh-CN"/>
              </w:rPr>
              <w:t>为民办实事</w:t>
            </w:r>
            <w:r>
              <w:rPr>
                <w:rFonts w:ascii="宋体" w:hAnsi="宋体" w:eastAsia="宋体"/>
                <w:sz w:val="16"/>
              </w:rPr>
              <w:t>工作队认真履责，切实保障村民权益，惠及人数超过预期指标，困难群众救助补助覆盖率较好。</w:t>
            </w:r>
          </w:p>
        </w:tc>
      </w:tr>
      <w:tr w14:paraId="058E7B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D79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791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AC0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98230">
            <w:pPr>
              <w:jc w:val="center"/>
            </w:pPr>
            <w:r>
              <w:rPr>
                <w:rFonts w:ascii="宋体" w:hAnsi="宋体" w:eastAsia="宋体"/>
                <w:sz w:val="16"/>
              </w:rPr>
              <w:t>工作队经费拨付率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D76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7838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94859">
            <w:pPr>
              <w:jc w:val="center"/>
            </w:pPr>
            <w:r>
              <w:rPr>
                <w:rFonts w:ascii="宋体" w:hAnsi="宋体" w:eastAsia="宋体"/>
                <w:sz w:val="16"/>
              </w:rPr>
              <w:t>=79.44%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7BCD8">
            <w:pPr>
              <w:jc w:val="center"/>
            </w:pPr>
            <w:r>
              <w:rPr>
                <w:rFonts w:ascii="宋体" w:hAnsi="宋体" w:eastAsia="宋体"/>
                <w:sz w:val="16"/>
              </w:rPr>
              <w:t>88.27%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A5B24">
            <w:pPr>
              <w:jc w:val="center"/>
            </w:pPr>
            <w:r>
              <w:rPr>
                <w:rFonts w:ascii="宋体" w:hAnsi="宋体" w:eastAsia="宋体"/>
                <w:sz w:val="16"/>
              </w:rPr>
              <w:t>3.53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DF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1EE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0D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5D2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C20C2">
            <w:pPr>
              <w:jc w:val="center"/>
            </w:pPr>
            <w:r>
              <w:rPr>
                <w:rFonts w:ascii="宋体" w:hAnsi="宋体" w:eastAsia="宋体"/>
                <w:sz w:val="16"/>
              </w:rPr>
              <w:t>自治区为民办实事经费实际支付少，节约了财政资金</w:t>
            </w:r>
          </w:p>
        </w:tc>
      </w:tr>
      <w:tr w14:paraId="0C4DBB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1B2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29A9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16B5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93EF">
            <w:pPr>
              <w:jc w:val="center"/>
            </w:pPr>
            <w:r>
              <w:rPr>
                <w:rFonts w:ascii="宋体" w:hAnsi="宋体" w:eastAsia="宋体"/>
                <w:sz w:val="16"/>
              </w:rPr>
              <w:t>自治区为民办实事经费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291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AD0B3">
            <w:pPr>
              <w:jc w:val="center"/>
            </w:pPr>
            <w:r>
              <w:rPr>
                <w:rFonts w:ascii="宋体" w:hAnsi="宋体" w:eastAsia="宋体"/>
                <w:sz w:val="16"/>
              </w:rPr>
              <w:t>&lt;=3.42万元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4C7FD">
            <w:pPr>
              <w:jc w:val="center"/>
            </w:pPr>
            <w:r>
              <w:rPr>
                <w:rFonts w:ascii="宋体" w:hAnsi="宋体" w:eastAsia="宋体"/>
                <w:sz w:val="16"/>
              </w:rPr>
              <w:t>2.47万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2CD8B">
            <w:pPr>
              <w:jc w:val="center"/>
            </w:pPr>
            <w:r>
              <w:rPr>
                <w:rFonts w:ascii="宋体" w:hAnsi="宋体" w:eastAsia="宋体"/>
                <w:sz w:val="16"/>
              </w:rPr>
              <w:t>72.22%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8CCB5">
            <w:pPr>
              <w:jc w:val="center"/>
            </w:pPr>
            <w:r>
              <w:rPr>
                <w:rFonts w:ascii="宋体" w:hAnsi="宋体" w:eastAsia="宋体"/>
                <w:sz w:val="16"/>
              </w:rPr>
              <w:t>3.97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5F25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AD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D44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675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DBEC4">
            <w:pPr>
              <w:jc w:val="center"/>
            </w:pPr>
            <w:r>
              <w:rPr>
                <w:rFonts w:ascii="宋体" w:hAnsi="宋体" w:eastAsia="宋体"/>
                <w:sz w:val="16"/>
              </w:rPr>
              <w:t>自治区为民办实事经费实际支付少，节约了财政资金</w:t>
            </w:r>
          </w:p>
        </w:tc>
      </w:tr>
      <w:tr w14:paraId="695B67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B9C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E1D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831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E5645">
            <w:pPr>
              <w:jc w:val="center"/>
            </w:pPr>
            <w:r>
              <w:rPr>
                <w:rFonts w:ascii="宋体" w:hAnsi="宋体" w:eastAsia="宋体"/>
                <w:sz w:val="16"/>
              </w:rPr>
              <w:t>州本级第一书记工作经费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4DAC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09D6">
            <w:pPr>
              <w:jc w:val="center"/>
            </w:pPr>
            <w:r>
              <w:rPr>
                <w:rFonts w:ascii="宋体" w:hAnsi="宋体" w:eastAsia="宋体"/>
                <w:sz w:val="16"/>
              </w:rPr>
              <w:t>&lt;=1.20万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3473E">
            <w:pPr>
              <w:jc w:val="center"/>
            </w:pPr>
            <w:r>
              <w:rPr>
                <w:rFonts w:ascii="宋体" w:hAnsi="宋体" w:eastAsia="宋体"/>
                <w:sz w:val="16"/>
              </w:rPr>
              <w:t>=1.2</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008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7BAC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913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16B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C22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D7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3EB14">
            <w:pPr>
              <w:jc w:val="center"/>
            </w:pPr>
          </w:p>
        </w:tc>
      </w:tr>
      <w:tr w14:paraId="6914BB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9CC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825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CA15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FADD6">
            <w:pPr>
              <w:jc w:val="center"/>
            </w:pPr>
            <w:r>
              <w:rPr>
                <w:rFonts w:ascii="宋体" w:hAnsi="宋体" w:eastAsia="宋体"/>
                <w:sz w:val="16"/>
              </w:rPr>
              <w:t>解决急难愁盼的困难问题，让群众感受到党和国家的温暖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B5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AF30B">
            <w:pPr>
              <w:jc w:val="center"/>
            </w:pPr>
            <w:r>
              <w:rPr>
                <w:rFonts w:ascii="宋体" w:hAnsi="宋体" w:eastAsia="宋体"/>
                <w:sz w:val="16"/>
              </w:rPr>
              <w:t>基本解决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A450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DEE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F4DC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7F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EF2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980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14B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8ABB2">
            <w:pPr>
              <w:jc w:val="center"/>
            </w:pPr>
          </w:p>
        </w:tc>
      </w:tr>
      <w:tr w14:paraId="65CAEB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B51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6CB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5DF7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71AD8">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95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C0E7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29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166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802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74B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031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5B13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DF7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DFA1">
            <w:pPr>
              <w:jc w:val="center"/>
            </w:pPr>
          </w:p>
        </w:tc>
      </w:tr>
      <w:tr w14:paraId="148F83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5522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F5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431C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0F16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A79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10060">
            <w:pPr>
              <w:jc w:val="center"/>
            </w:pPr>
            <w:r>
              <w:rPr>
                <w:rFonts w:ascii="宋体" w:hAnsi="宋体" w:eastAsia="宋体"/>
                <w:sz w:val="16"/>
              </w:rPr>
              <w:t>83.88分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157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4030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7CDF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BEE9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3B294B"/>
        </w:tc>
      </w:tr>
    </w:tbl>
    <w:p w14:paraId="010ECD64">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96"/>
        <w:gridCol w:w="607"/>
        <w:gridCol w:w="607"/>
        <w:gridCol w:w="608"/>
        <w:gridCol w:w="607"/>
        <w:gridCol w:w="630"/>
      </w:tblGrid>
      <w:tr w14:paraId="3A50054C">
        <w:tblPrEx>
          <w:tblCellMar>
            <w:top w:w="0" w:type="dxa"/>
            <w:left w:w="108" w:type="dxa"/>
            <w:bottom w:w="0" w:type="dxa"/>
            <w:right w:w="108" w:type="dxa"/>
          </w:tblCellMar>
        </w:tblPrEx>
        <w:tc>
          <w:tcPr>
            <w:tcW w:w="8848" w:type="dxa"/>
            <w:gridSpan w:val="14"/>
            <w:vAlign w:val="center"/>
          </w:tcPr>
          <w:p w14:paraId="4C8615DA">
            <w:pPr>
              <w:jc w:val="center"/>
            </w:pPr>
            <w:r>
              <w:rPr>
                <w:rFonts w:ascii="宋体" w:hAnsi="宋体" w:eastAsia="宋体"/>
                <w:sz w:val="24"/>
              </w:rPr>
              <w:t>项目支出绩效自评表</w:t>
            </w:r>
          </w:p>
        </w:tc>
      </w:tr>
      <w:tr w14:paraId="5DF2564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8639E2">
            <w:pPr>
              <w:jc w:val="center"/>
            </w:pPr>
            <w:r>
              <w:rPr>
                <w:rFonts w:ascii="宋体" w:hAnsi="宋体" w:eastAsia="宋体"/>
                <w:sz w:val="24"/>
              </w:rPr>
              <w:t>(2024年度)</w:t>
            </w:r>
          </w:p>
        </w:tc>
      </w:tr>
      <w:tr w14:paraId="6CEDCA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87F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54DB62">
            <w:pPr>
              <w:jc w:val="center"/>
            </w:pPr>
            <w:r>
              <w:rPr>
                <w:rFonts w:ascii="宋体" w:hAnsi="宋体" w:eastAsia="宋体"/>
                <w:sz w:val="16"/>
              </w:rPr>
              <w:t>援疆资金</w:t>
            </w:r>
          </w:p>
        </w:tc>
      </w:tr>
      <w:tr w14:paraId="7A7D53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2A5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0624B9">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F1FA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07539D">
            <w:pPr>
              <w:jc w:val="center"/>
            </w:pPr>
            <w:r>
              <w:rPr>
                <w:rFonts w:ascii="宋体" w:hAnsi="宋体" w:eastAsia="宋体"/>
                <w:sz w:val="16"/>
              </w:rPr>
              <w:t>阜康市人民法院</w:t>
            </w:r>
          </w:p>
        </w:tc>
      </w:tr>
      <w:tr w14:paraId="7B3A8B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D4AA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AE5E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838F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8681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D38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3DD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96A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6372C">
            <w:pPr>
              <w:jc w:val="center"/>
            </w:pPr>
            <w:r>
              <w:rPr>
                <w:rFonts w:ascii="宋体" w:hAnsi="宋体" w:eastAsia="宋体"/>
                <w:sz w:val="16"/>
              </w:rPr>
              <w:t>得分</w:t>
            </w:r>
          </w:p>
        </w:tc>
      </w:tr>
      <w:tr w14:paraId="457782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9AF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9B7C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D314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FEEF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6E16C">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BD17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06E8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D05BC">
            <w:pPr>
              <w:jc w:val="center"/>
            </w:pPr>
            <w:r>
              <w:rPr>
                <w:rFonts w:ascii="宋体" w:hAnsi="宋体" w:eastAsia="宋体"/>
                <w:sz w:val="16"/>
              </w:rPr>
              <w:t>10.00</w:t>
            </w:r>
          </w:p>
        </w:tc>
      </w:tr>
      <w:tr w14:paraId="02163A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37C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CC95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864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178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BAA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C0C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50E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33DC3">
            <w:pPr>
              <w:jc w:val="center"/>
            </w:pPr>
            <w:r>
              <w:rPr>
                <w:rFonts w:ascii="宋体" w:hAnsi="宋体" w:eastAsia="宋体"/>
                <w:sz w:val="16"/>
              </w:rPr>
              <w:t>—</w:t>
            </w:r>
          </w:p>
        </w:tc>
      </w:tr>
      <w:tr w14:paraId="00E3B4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717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8B1B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363C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333D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4496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CD5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59C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81C08">
            <w:pPr>
              <w:jc w:val="center"/>
            </w:pPr>
            <w:r>
              <w:rPr>
                <w:rFonts w:ascii="宋体" w:hAnsi="宋体" w:eastAsia="宋体"/>
                <w:sz w:val="16"/>
              </w:rPr>
              <w:t>—</w:t>
            </w:r>
          </w:p>
        </w:tc>
      </w:tr>
      <w:tr w14:paraId="49F7C7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2B6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1C226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DDCDD8">
            <w:pPr>
              <w:jc w:val="center"/>
            </w:pPr>
            <w:r>
              <w:rPr>
                <w:rFonts w:ascii="宋体" w:hAnsi="宋体" w:eastAsia="宋体"/>
                <w:sz w:val="16"/>
              </w:rPr>
              <w:t>实际完成情况</w:t>
            </w:r>
          </w:p>
        </w:tc>
      </w:tr>
      <w:tr w14:paraId="492BA4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4A97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25E31F">
            <w:pPr>
              <w:jc w:val="both"/>
            </w:pPr>
            <w:bookmarkStart w:id="0" w:name="_GoBack"/>
            <w:r>
              <w:rPr>
                <w:rFonts w:ascii="宋体" w:hAnsi="宋体" w:eastAsia="宋体"/>
                <w:sz w:val="16"/>
              </w:rPr>
              <w:t>1、</w:t>
            </w:r>
            <w:bookmarkEnd w:id="0"/>
            <w:r>
              <w:rPr>
                <w:rFonts w:ascii="宋体" w:hAnsi="宋体" w:eastAsia="宋体"/>
                <w:sz w:val="16"/>
              </w:rPr>
              <w:t>为确保建筑物符合国家消防安全标准，解决潜在消防安全隐患，避免火灾事故发生，我院决定将22.4649万元用于审判大楼维修改造工程进行消防验收整改。</w:t>
            </w:r>
            <w:r>
              <w:rPr>
                <w:rFonts w:ascii="宋体" w:hAnsi="宋体" w:eastAsia="宋体"/>
                <w:sz w:val="16"/>
              </w:rPr>
              <w:br w:type="textWrapping"/>
            </w:r>
            <w:r>
              <w:rPr>
                <w:rFonts w:ascii="宋体" w:hAnsi="宋体" w:eastAsia="宋体"/>
                <w:sz w:val="16"/>
              </w:rPr>
              <w:t>2、滋泥泉子法庭年久失修，隐患较大，需做屋顶防水、房檐线条更换，大门围栏更换，外墙局部粉刷修护等改造，我院决定将7.5351万元用于滋泥泉子法庭维修改造。</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CADA1A">
            <w:pPr>
              <w:jc w:val="both"/>
            </w:pPr>
            <w:r>
              <w:rPr>
                <w:rFonts w:ascii="宋体" w:hAnsi="宋体" w:eastAsia="宋体"/>
                <w:sz w:val="16"/>
              </w:rPr>
              <w:t>截至2024年12月31日，</w:t>
            </w:r>
            <w:r>
              <w:rPr>
                <w:rFonts w:hint="eastAsia" w:ascii="宋体" w:hAnsi="宋体"/>
                <w:sz w:val="16"/>
                <w:lang w:eastAsia="zh-CN"/>
              </w:rPr>
              <w:t>本单位</w:t>
            </w:r>
            <w:r>
              <w:rPr>
                <w:rFonts w:ascii="宋体" w:hAnsi="宋体" w:eastAsia="宋体"/>
                <w:sz w:val="16"/>
              </w:rPr>
              <w:t>实际完成修缮项目2个，竣工验收合格，审计大楼消防改造及滋泥泉子法庭维修已完成，且2个修缮项目资金均已使用完毕，全院干警满意度达到100%。通过以上项目的实施保障部门单位运转正常，提升法院安全系数。</w:t>
            </w:r>
          </w:p>
        </w:tc>
      </w:tr>
      <w:tr w14:paraId="4E8E39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D48C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911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4C5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17F8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412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E0ED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DB09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21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A010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D9F6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111A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3BBB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DDE3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3113">
            <w:pPr>
              <w:jc w:val="center"/>
            </w:pPr>
            <w:r>
              <w:rPr>
                <w:rFonts w:ascii="宋体" w:hAnsi="宋体" w:eastAsia="宋体"/>
                <w:sz w:val="16"/>
              </w:rPr>
              <w:t>偏差原因分析及改进措施</w:t>
            </w:r>
          </w:p>
        </w:tc>
      </w:tr>
      <w:tr w14:paraId="583AAF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62DF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FB792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3DAF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DAF90">
            <w:pPr>
              <w:jc w:val="center"/>
            </w:pPr>
            <w:r>
              <w:rPr>
                <w:rFonts w:ascii="宋体" w:hAnsi="宋体" w:eastAsia="宋体"/>
                <w:sz w:val="16"/>
              </w:rPr>
              <w:t>修缮工程项目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553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A3999">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E196C">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532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393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F1B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E6F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7C0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3C9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A143C">
            <w:pPr>
              <w:jc w:val="center"/>
            </w:pPr>
          </w:p>
        </w:tc>
      </w:tr>
      <w:tr w14:paraId="3AC35A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98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8F4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0D3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0299E">
            <w:pPr>
              <w:jc w:val="center"/>
            </w:pPr>
            <w:r>
              <w:rPr>
                <w:rFonts w:ascii="宋体" w:hAnsi="宋体" w:eastAsia="宋体"/>
                <w:sz w:val="16"/>
              </w:rPr>
              <w:t>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88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3A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E62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E3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F4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A37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A05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7DC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900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6C7C7">
            <w:pPr>
              <w:jc w:val="center"/>
            </w:pPr>
          </w:p>
        </w:tc>
      </w:tr>
      <w:tr w14:paraId="7A521C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B0D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369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486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DE847">
            <w:pPr>
              <w:jc w:val="center"/>
            </w:pPr>
            <w:r>
              <w:rPr>
                <w:rFonts w:ascii="宋体" w:hAnsi="宋体" w:eastAsia="宋体"/>
                <w:sz w:val="16"/>
              </w:rPr>
              <w:t>工程项目完成时间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6FD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FA988">
            <w:pPr>
              <w:jc w:val="center"/>
            </w:pPr>
            <w:r>
              <w:rPr>
                <w:rFonts w:ascii="宋体" w:hAnsi="宋体" w:eastAsia="宋体"/>
                <w:sz w:val="16"/>
              </w:rPr>
              <w:t>=2024年12月1日之前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E5C58">
            <w:pPr>
              <w:jc w:val="center"/>
            </w:pPr>
            <w:r>
              <w:rPr>
                <w:rFonts w:ascii="宋体" w:hAnsi="宋体" w:eastAsia="宋体"/>
                <w:sz w:val="16"/>
              </w:rPr>
              <w:t>2024年10月1日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2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31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5AF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834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FD4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53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1B545">
            <w:pPr>
              <w:jc w:val="center"/>
            </w:pPr>
          </w:p>
        </w:tc>
      </w:tr>
      <w:tr w14:paraId="7134B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BAE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42A8F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7452B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07A7">
            <w:pPr>
              <w:jc w:val="center"/>
            </w:pPr>
            <w:r>
              <w:rPr>
                <w:rFonts w:ascii="宋体" w:hAnsi="宋体" w:eastAsia="宋体"/>
                <w:sz w:val="16"/>
              </w:rPr>
              <w:t>审判大楼消防改造成本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E4D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D1C26">
            <w:pPr>
              <w:jc w:val="center"/>
            </w:pPr>
            <w:r>
              <w:rPr>
                <w:rFonts w:ascii="宋体" w:hAnsi="宋体" w:eastAsia="宋体"/>
                <w:sz w:val="16"/>
              </w:rPr>
              <w:t>&lt;=22.46万元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8FB83">
            <w:pPr>
              <w:jc w:val="center"/>
            </w:pPr>
            <w:r>
              <w:rPr>
                <w:rFonts w:ascii="宋体" w:hAnsi="宋体" w:eastAsia="宋体"/>
                <w:sz w:val="16"/>
              </w:rPr>
              <w:t>=22.46万元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15A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BE3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38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15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84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947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5487">
            <w:pPr>
              <w:jc w:val="center"/>
            </w:pPr>
          </w:p>
        </w:tc>
      </w:tr>
      <w:tr w14:paraId="1DE086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DA4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D35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5E8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CA580">
            <w:pPr>
              <w:jc w:val="center"/>
            </w:pPr>
            <w:r>
              <w:rPr>
                <w:rFonts w:ascii="宋体" w:hAnsi="宋体" w:eastAsia="宋体"/>
                <w:sz w:val="16"/>
              </w:rPr>
              <w:t>滋泥泉子法庭维修成本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D1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513A">
            <w:pPr>
              <w:jc w:val="center"/>
            </w:pPr>
            <w:r>
              <w:rPr>
                <w:rFonts w:ascii="宋体" w:hAnsi="宋体" w:eastAsia="宋体"/>
                <w:sz w:val="16"/>
              </w:rPr>
              <w:t>&lt;=7.54万元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C97CE">
            <w:pPr>
              <w:jc w:val="center"/>
            </w:pPr>
            <w:r>
              <w:rPr>
                <w:rFonts w:ascii="宋体" w:hAnsi="宋体" w:eastAsia="宋体"/>
                <w:sz w:val="16"/>
              </w:rPr>
              <w: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F10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FF1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5A9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50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45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065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3ACC">
            <w:pPr>
              <w:jc w:val="center"/>
            </w:pPr>
          </w:p>
        </w:tc>
      </w:tr>
      <w:tr w14:paraId="5ADACF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F1D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E04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208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13857">
            <w:pPr>
              <w:jc w:val="center"/>
            </w:pPr>
            <w:r>
              <w:rPr>
                <w:rFonts w:ascii="宋体" w:hAnsi="宋体" w:eastAsia="宋体"/>
                <w:sz w:val="16"/>
              </w:rPr>
              <w:t>提升安全系数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8AA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C0AA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74B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F27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C0B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EBE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0D7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69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0C9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793EB">
            <w:pPr>
              <w:jc w:val="center"/>
            </w:pPr>
          </w:p>
        </w:tc>
      </w:tr>
      <w:tr w14:paraId="30CC0E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4CA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E6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C3B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B9F50">
            <w:pPr>
              <w:jc w:val="center"/>
            </w:pPr>
            <w:r>
              <w:rPr>
                <w:rFonts w:ascii="宋体" w:hAnsi="宋体" w:eastAsia="宋体"/>
                <w:sz w:val="16"/>
              </w:rPr>
              <w:t>干警满意度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3C2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98E6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D9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2ACD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4CC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DAF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B06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C544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68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4A70A">
            <w:pPr>
              <w:jc w:val="center"/>
            </w:pPr>
            <w:r>
              <w:rPr>
                <w:rFonts w:ascii="宋体" w:hAnsi="宋体" w:eastAsia="宋体"/>
                <w:sz w:val="16"/>
              </w:rPr>
              <w:t>本项目资金使用情况良好，科室间沟通合作，推动项目工作落地落实，审计大楼消防改造及滋泥泉子法庭维修均已完成，保障了部门单位运转正常，提升了法院安全系数，因此人员满意度较高，超过预期产生偏差。</w:t>
            </w:r>
          </w:p>
        </w:tc>
      </w:tr>
      <w:tr w14:paraId="3F4853F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28AC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E99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6797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010E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7A9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FF9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99BF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0A24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925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B772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90939"/>
        </w:tc>
      </w:tr>
    </w:tbl>
    <w:p w14:paraId="2E46E1D8">
      <w:r>
        <w:br w:type="page"/>
      </w:r>
    </w:p>
    <w:p w14:paraId="575C32E3">
      <w:pPr>
        <w:spacing w:line="640" w:lineRule="exact"/>
        <w:ind w:firstLine="640"/>
        <w:jc w:val="both"/>
        <w:outlineLvl w:val="2"/>
      </w:pPr>
      <w:r>
        <w:rPr>
          <w:rFonts w:ascii="黑体" w:hAnsi="黑体" w:eastAsia="黑体"/>
          <w:sz w:val="32"/>
        </w:rPr>
        <w:t>十二、其他需说明的事项</w:t>
      </w:r>
    </w:p>
    <w:p w14:paraId="0513B8D5">
      <w:pPr>
        <w:spacing w:line="580" w:lineRule="exact"/>
        <w:ind w:firstLine="640"/>
        <w:jc w:val="both"/>
      </w:pPr>
      <w:r>
        <w:rPr>
          <w:rFonts w:ascii="仿宋_GB2312" w:hAnsi="仿宋_GB2312" w:eastAsia="仿宋_GB2312"/>
          <w:b w:val="0"/>
          <w:sz w:val="32"/>
        </w:rPr>
        <w:t>本年本单位SM项目6个，全年预算数432.75万元，全年执行数432.75万元。</w:t>
      </w:r>
    </w:p>
    <w:p w14:paraId="592C7258">
      <w:r>
        <w:br w:type="page"/>
      </w:r>
    </w:p>
    <w:p w14:paraId="2B8AD9CE">
      <w:pPr>
        <w:spacing w:line="240" w:lineRule="auto"/>
        <w:jc w:val="center"/>
        <w:outlineLvl w:val="1"/>
      </w:pPr>
      <w:r>
        <w:rPr>
          <w:rFonts w:ascii="黑体" w:hAnsi="黑体" w:eastAsia="黑体"/>
          <w:sz w:val="32"/>
        </w:rPr>
        <w:t>第三部分 专业名词解释</w:t>
      </w:r>
    </w:p>
    <w:p w14:paraId="69D483A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52AE3C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005C08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DDCB21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0201BC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AD2EBA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DB846E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A6E6AD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E26EE6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531E99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11CE32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C61F79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81C7C8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56CDB7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EF7307E">
      <w:r>
        <w:br w:type="page"/>
      </w:r>
    </w:p>
    <w:p w14:paraId="1CE2D06F">
      <w:pPr>
        <w:spacing w:line="240" w:lineRule="auto"/>
        <w:jc w:val="center"/>
        <w:outlineLvl w:val="1"/>
      </w:pPr>
      <w:r>
        <w:rPr>
          <w:rFonts w:ascii="黑体" w:hAnsi="黑体" w:eastAsia="黑体"/>
          <w:sz w:val="32"/>
        </w:rPr>
        <w:t>第四部分 部门决算报表（见附表）</w:t>
      </w:r>
    </w:p>
    <w:p w14:paraId="68C7157F">
      <w:pPr>
        <w:spacing w:line="240" w:lineRule="auto"/>
        <w:ind w:firstLine="640"/>
        <w:jc w:val="both"/>
      </w:pPr>
      <w:r>
        <w:rPr>
          <w:rFonts w:ascii="仿宋_GB2312" w:hAnsi="仿宋_GB2312" w:eastAsia="仿宋_GB2312"/>
          <w:b w:val="0"/>
          <w:sz w:val="32"/>
        </w:rPr>
        <w:t>一、《收入支出决算总表》</w:t>
      </w:r>
    </w:p>
    <w:p w14:paraId="7935709C">
      <w:pPr>
        <w:spacing w:line="240" w:lineRule="auto"/>
        <w:ind w:firstLine="640"/>
        <w:jc w:val="both"/>
      </w:pPr>
      <w:r>
        <w:rPr>
          <w:rFonts w:ascii="仿宋_GB2312" w:hAnsi="仿宋_GB2312" w:eastAsia="仿宋_GB2312"/>
          <w:b w:val="0"/>
          <w:sz w:val="32"/>
        </w:rPr>
        <w:t>二、《收入决算表》</w:t>
      </w:r>
    </w:p>
    <w:p w14:paraId="0B6C4CFF">
      <w:pPr>
        <w:spacing w:line="240" w:lineRule="auto"/>
        <w:ind w:firstLine="640"/>
        <w:jc w:val="both"/>
      </w:pPr>
      <w:r>
        <w:rPr>
          <w:rFonts w:ascii="仿宋_GB2312" w:hAnsi="仿宋_GB2312" w:eastAsia="仿宋_GB2312"/>
          <w:b w:val="0"/>
          <w:sz w:val="32"/>
        </w:rPr>
        <w:t>三、《支出决算表》</w:t>
      </w:r>
    </w:p>
    <w:p w14:paraId="5AEF098A">
      <w:pPr>
        <w:spacing w:line="240" w:lineRule="auto"/>
        <w:ind w:firstLine="640"/>
        <w:jc w:val="both"/>
      </w:pPr>
      <w:r>
        <w:rPr>
          <w:rFonts w:ascii="仿宋_GB2312" w:hAnsi="仿宋_GB2312" w:eastAsia="仿宋_GB2312"/>
          <w:b w:val="0"/>
          <w:sz w:val="32"/>
        </w:rPr>
        <w:t>四、《财政拨款收入支出决算总表》</w:t>
      </w:r>
    </w:p>
    <w:p w14:paraId="03A32ACB">
      <w:pPr>
        <w:spacing w:line="240" w:lineRule="auto"/>
        <w:ind w:firstLine="640"/>
        <w:jc w:val="both"/>
      </w:pPr>
      <w:r>
        <w:rPr>
          <w:rFonts w:ascii="仿宋_GB2312" w:hAnsi="仿宋_GB2312" w:eastAsia="仿宋_GB2312"/>
          <w:b w:val="0"/>
          <w:sz w:val="32"/>
        </w:rPr>
        <w:t>五、《一般公共预算财政拨款支出决算表》</w:t>
      </w:r>
    </w:p>
    <w:p w14:paraId="0FA85FE2">
      <w:pPr>
        <w:spacing w:line="240" w:lineRule="auto"/>
        <w:ind w:firstLine="640"/>
        <w:jc w:val="both"/>
      </w:pPr>
      <w:r>
        <w:rPr>
          <w:rFonts w:ascii="仿宋_GB2312" w:hAnsi="仿宋_GB2312" w:eastAsia="仿宋_GB2312"/>
          <w:b w:val="0"/>
          <w:sz w:val="32"/>
        </w:rPr>
        <w:t>六、《一般公共预算财政拨款基本支出决算表》</w:t>
      </w:r>
    </w:p>
    <w:p w14:paraId="396A9372">
      <w:pPr>
        <w:spacing w:line="240" w:lineRule="auto"/>
        <w:ind w:firstLine="640"/>
        <w:jc w:val="both"/>
      </w:pPr>
      <w:r>
        <w:rPr>
          <w:rFonts w:ascii="仿宋_GB2312" w:hAnsi="仿宋_GB2312" w:eastAsia="仿宋_GB2312"/>
          <w:b w:val="0"/>
          <w:sz w:val="32"/>
        </w:rPr>
        <w:t>七、《政府性基金预算财政拨款收入支出决算表》</w:t>
      </w:r>
    </w:p>
    <w:p w14:paraId="72D2D767">
      <w:pPr>
        <w:spacing w:line="240" w:lineRule="auto"/>
        <w:ind w:firstLine="640"/>
        <w:jc w:val="both"/>
      </w:pPr>
      <w:r>
        <w:rPr>
          <w:rFonts w:ascii="仿宋_GB2312" w:hAnsi="仿宋_GB2312" w:eastAsia="仿宋_GB2312"/>
          <w:b w:val="0"/>
          <w:sz w:val="32"/>
        </w:rPr>
        <w:t>八、《国有资本经营预算财政拨款收入支出决算表》</w:t>
      </w:r>
    </w:p>
    <w:p w14:paraId="7E255EF8">
      <w:pPr>
        <w:spacing w:line="240" w:lineRule="auto"/>
        <w:ind w:firstLine="640"/>
        <w:jc w:val="both"/>
      </w:pPr>
      <w:r>
        <w:rPr>
          <w:rFonts w:ascii="仿宋_GB2312" w:hAnsi="仿宋_GB2312" w:eastAsia="仿宋_GB2312"/>
          <w:b w:val="0"/>
          <w:sz w:val="32"/>
        </w:rPr>
        <w:t>九、《财政拨款“三公”经费支出决算表》</w:t>
      </w:r>
    </w:p>
    <w:p w14:paraId="31B4D095">
      <w:pPr>
        <w:spacing w:line="240" w:lineRule="auto"/>
        <w:ind w:firstLine="640"/>
        <w:jc w:val="both"/>
      </w:pPr>
    </w:p>
    <w:p w14:paraId="308D39F9">
      <w:pPr>
        <w:spacing w:line="240" w:lineRule="auto"/>
        <w:ind w:firstLine="640"/>
        <w:jc w:val="both"/>
      </w:pPr>
    </w:p>
    <w:p w14:paraId="76F2C344">
      <w:pPr>
        <w:spacing w:line="240" w:lineRule="auto"/>
        <w:ind w:firstLine="640"/>
        <w:jc w:val="both"/>
      </w:pPr>
    </w:p>
    <w:p w14:paraId="2F6662D3">
      <w:pPr>
        <w:spacing w:line="240" w:lineRule="auto"/>
        <w:ind w:firstLine="640"/>
        <w:jc w:val="both"/>
      </w:pPr>
    </w:p>
    <w:p w14:paraId="218EC2C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3EE4A1-A7C5-4495-928C-E6EA2F621B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C80C998-6982-4CAB-BD4F-CA48A6FB9064}"/>
  </w:font>
  <w:font w:name="仿宋_GB2312">
    <w:altName w:val="仿宋"/>
    <w:panose1 w:val="02010609030101010101"/>
    <w:charset w:val="86"/>
    <w:family w:val="modern"/>
    <w:pitch w:val="default"/>
    <w:sig w:usb0="00000000" w:usb1="00000000" w:usb2="00000000" w:usb3="00000000" w:csb0="00040000" w:csb1="00000000"/>
    <w:embedRegular r:id="rId3" w:fontKey="{5409C6C2-3295-4AFE-838F-9218772072C4}"/>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F5182F73-F953-42A6-A634-73B1A205A14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B61CFD"/>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95D0018"/>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5731</Words>
  <Characters>6542</Characters>
  <Lines>0</Lines>
  <Paragraphs>0</Paragraphs>
  <TotalTime>6</TotalTime>
  <ScaleCrop>false</ScaleCrop>
  <LinksUpToDate>false</LinksUpToDate>
  <CharactersWithSpaces>6550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