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B7B76">
      <w:pPr>
        <w:keepNext w:val="0"/>
        <w:keepLines w:val="0"/>
        <w:pageBreakBefore w:val="0"/>
        <w:widowControl w:val="0"/>
        <w:kinsoku/>
        <w:wordWrap/>
        <w:overflowPunct/>
        <w:topLinePunct w:val="0"/>
        <w:bidi w:val="0"/>
        <w:adjustRightInd/>
        <w:snapToGrid/>
        <w:spacing w:line="240" w:lineRule="auto"/>
        <w:textAlignment w:val="auto"/>
        <w:rPr>
          <w:rFonts w:hint="default" w:ascii="黑体" w:hAnsi="黑体" w:eastAsia="黑体"/>
          <w:sz w:val="32"/>
          <w:szCs w:val="32"/>
          <w:highlight w:val="none"/>
          <w:lang w:val="en-US" w:eastAsia="zh-CN"/>
        </w:rPr>
      </w:pPr>
    </w:p>
    <w:p w14:paraId="0FEDF7D7">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59D1D77C">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6360471">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37E3997B">
      <w:pPr>
        <w:keepNext w:val="0"/>
        <w:keepLines w:val="0"/>
        <w:pageBreakBefore w:val="0"/>
        <w:widowControl w:val="0"/>
        <w:kinsoku/>
        <w:wordWrap/>
        <w:overflowPunct/>
        <w:topLinePunct w:val="0"/>
        <w:bidi w:val="0"/>
        <w:adjustRightInd/>
        <w:snapToGrid/>
        <w:spacing w:line="240" w:lineRule="auto"/>
        <w:jc w:val="center"/>
        <w:textAlignment w:val="auto"/>
        <w:rPr>
          <w:rFonts w:hint="eastAsia" w:ascii="方正小标宋_GBK" w:hAnsi="宋体" w:eastAsia="方正小标宋_GBK"/>
          <w:sz w:val="44"/>
          <w:szCs w:val="44"/>
          <w:highlight w:val="none"/>
        </w:rPr>
      </w:pPr>
    </w:p>
    <w:p w14:paraId="4DACF2E4">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lang w:val="en-US" w:eastAsia="zh-CN"/>
        </w:rPr>
        <w:t>阜康市人民检察院2024</w:t>
      </w:r>
      <w:r>
        <w:rPr>
          <w:rFonts w:hint="eastAsia" w:ascii="方正小标宋_GBK" w:hAnsi="宋体" w:eastAsia="方正小标宋_GBK"/>
          <w:sz w:val="44"/>
          <w:szCs w:val="44"/>
          <w:highlight w:val="none"/>
          <w:lang w:eastAsia="zh-CN"/>
        </w:rPr>
        <w:t>年度</w:t>
      </w:r>
      <w:r>
        <w:rPr>
          <w:rFonts w:hint="eastAsia" w:ascii="方正小标宋_GBK" w:hAnsi="宋体" w:eastAsia="方正小标宋_GBK"/>
          <w:sz w:val="44"/>
          <w:szCs w:val="44"/>
          <w:highlight w:val="none"/>
        </w:rPr>
        <w:t>部门决算</w:t>
      </w:r>
    </w:p>
    <w:p w14:paraId="0197314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宋体" w:eastAsia="方正小标宋_GBK"/>
          <w:sz w:val="44"/>
          <w:szCs w:val="44"/>
          <w:highlight w:val="none"/>
        </w:rPr>
      </w:pPr>
      <w:r>
        <w:rPr>
          <w:rFonts w:hint="eastAsia" w:ascii="方正小标宋_GBK" w:hAnsi="宋体" w:eastAsia="方正小标宋_GBK"/>
          <w:sz w:val="44"/>
          <w:szCs w:val="44"/>
          <w:highlight w:val="none"/>
        </w:rPr>
        <w:t>公开说明</w:t>
      </w:r>
    </w:p>
    <w:p w14:paraId="2E37F804">
      <w:pPr>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rPr>
          <w:rFonts w:hint="eastAsia" w:ascii="仿宋_GB2312" w:hAnsi="仿宋_GB2312" w:eastAsia="仿宋_GB2312" w:cs="仿宋_GB2312"/>
          <w:b w:val="0"/>
          <w:bCs/>
          <w:kern w:val="0"/>
          <w:sz w:val="32"/>
          <w:szCs w:val="32"/>
          <w:highlight w:val="none"/>
        </w:rPr>
      </w:pPr>
      <w:r>
        <w:rPr>
          <w:rFonts w:hint="eastAsia" w:ascii="方正小标宋_GBK" w:hAnsi="宋体" w:eastAsia="方正小标宋_GBK"/>
          <w:sz w:val="44"/>
          <w:szCs w:val="44"/>
          <w:highlight w:val="none"/>
        </w:rPr>
        <w:br w:type="page"/>
      </w:r>
      <w:r>
        <w:rPr>
          <w:rFonts w:hint="eastAsia" w:ascii="仿宋_GB2312" w:hAnsi="仿宋_GB2312" w:eastAsia="仿宋_GB2312" w:cs="仿宋_GB2312"/>
          <w:b/>
          <w:bCs w:val="0"/>
          <w:kern w:val="0"/>
          <w:sz w:val="36"/>
          <w:szCs w:val="36"/>
          <w:highlight w:val="none"/>
        </w:rPr>
        <w:t>目  录</w:t>
      </w:r>
    </w:p>
    <w:p w14:paraId="6D30421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TOC \o "1-3" \n  \h \u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_Toc31918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第一部分 单位概况</w:t>
      </w:r>
      <w:r>
        <w:rPr>
          <w:rFonts w:hint="eastAsia" w:ascii="仿宋_GB2312" w:hAnsi="仿宋_GB2312" w:eastAsia="仿宋_GB2312" w:cs="仿宋_GB2312"/>
          <w:b/>
          <w:bCs/>
          <w:sz w:val="32"/>
          <w:szCs w:val="32"/>
          <w:highlight w:val="none"/>
        </w:rPr>
        <w:fldChar w:fldCharType="end"/>
      </w:r>
    </w:p>
    <w:p w14:paraId="4C839E70">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_Toc2898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一、主要职能</w:t>
      </w:r>
      <w:r>
        <w:rPr>
          <w:rFonts w:hint="eastAsia" w:ascii="仿宋_GB2312" w:hAnsi="仿宋_GB2312" w:eastAsia="仿宋_GB2312" w:cs="仿宋_GB2312"/>
          <w:sz w:val="32"/>
          <w:szCs w:val="32"/>
          <w:highlight w:val="none"/>
        </w:rPr>
        <w:fldChar w:fldCharType="end"/>
      </w:r>
    </w:p>
    <w:p w14:paraId="57C435C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_Toc1387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二、机构设置</w:t>
      </w:r>
      <w:r>
        <w:rPr>
          <w:rFonts w:hint="eastAsia" w:ascii="仿宋_GB2312" w:hAnsi="仿宋_GB2312" w:eastAsia="仿宋_GB2312" w:cs="仿宋_GB2312"/>
          <w:bCs/>
          <w:kern w:val="0"/>
          <w:sz w:val="32"/>
          <w:szCs w:val="32"/>
          <w:highlight w:val="none"/>
          <w:lang w:eastAsia="zh-CN"/>
        </w:rPr>
        <w:t>及人员</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sz w:val="32"/>
          <w:szCs w:val="32"/>
          <w:highlight w:val="none"/>
        </w:rPr>
        <w:fldChar w:fldCharType="end"/>
      </w:r>
    </w:p>
    <w:p w14:paraId="0BE8C167">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_Toc7559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二</w:t>
      </w:r>
      <w:r>
        <w:rPr>
          <w:rFonts w:hint="eastAsia" w:ascii="仿宋_GB2312" w:hAnsi="仿宋_GB2312" w:eastAsia="仿宋_GB2312" w:cs="仿宋_GB2312"/>
          <w:b/>
          <w:bCs/>
          <w:sz w:val="32"/>
          <w:szCs w:val="32"/>
          <w:highlight w:val="none"/>
        </w:rPr>
        <w:t>部分 部门决算情况说明</w:t>
      </w:r>
      <w:r>
        <w:rPr>
          <w:rFonts w:hint="eastAsia" w:ascii="仿宋_GB2312" w:hAnsi="仿宋_GB2312" w:eastAsia="仿宋_GB2312" w:cs="仿宋_GB2312"/>
          <w:b/>
          <w:bCs/>
          <w:sz w:val="32"/>
          <w:szCs w:val="32"/>
          <w:highlight w:val="none"/>
        </w:rPr>
        <w:fldChar w:fldCharType="end"/>
      </w:r>
    </w:p>
    <w:p w14:paraId="148756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_Toc6321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一、收入支出决算总体情况说明</w:t>
      </w:r>
      <w:r>
        <w:rPr>
          <w:rFonts w:hint="eastAsia" w:ascii="仿宋_GB2312" w:hAnsi="仿宋_GB2312" w:eastAsia="仿宋_GB2312" w:cs="仿宋_GB2312"/>
          <w:sz w:val="32"/>
          <w:szCs w:val="32"/>
          <w:highlight w:val="none"/>
        </w:rPr>
        <w:fldChar w:fldCharType="end"/>
      </w:r>
    </w:p>
    <w:p w14:paraId="5C269B25">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_Toc6311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二、</w:t>
      </w:r>
      <w:r>
        <w:rPr>
          <w:rFonts w:hint="eastAsia" w:ascii="仿宋_GB2312" w:hAnsi="仿宋_GB2312" w:eastAsia="仿宋_GB2312" w:cs="仿宋_GB2312"/>
          <w:bCs/>
          <w:kern w:val="0"/>
          <w:sz w:val="32"/>
          <w:szCs w:val="32"/>
          <w:highlight w:val="none"/>
        </w:rPr>
        <w:t>收入</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情况说明</w:t>
      </w:r>
      <w:r>
        <w:rPr>
          <w:rFonts w:hint="eastAsia" w:ascii="仿宋_GB2312" w:hAnsi="仿宋_GB2312" w:eastAsia="仿宋_GB2312" w:cs="仿宋_GB2312"/>
          <w:sz w:val="32"/>
          <w:szCs w:val="32"/>
          <w:highlight w:val="none"/>
        </w:rPr>
        <w:fldChar w:fldCharType="end"/>
      </w:r>
    </w:p>
    <w:p w14:paraId="5AF5F9A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_Toc20629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三、支出决算情况说明</w:t>
      </w:r>
      <w:r>
        <w:rPr>
          <w:rFonts w:hint="eastAsia" w:ascii="仿宋_GB2312" w:hAnsi="仿宋_GB2312" w:eastAsia="仿宋_GB2312" w:cs="仿宋_GB2312"/>
          <w:sz w:val="32"/>
          <w:szCs w:val="32"/>
          <w:highlight w:val="none"/>
        </w:rPr>
        <w:fldChar w:fldCharType="end"/>
      </w:r>
    </w:p>
    <w:p w14:paraId="107F52B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_Toc7371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四、财政拨款收入支出决算总体情况说明</w:t>
      </w:r>
      <w:r>
        <w:rPr>
          <w:rFonts w:hint="eastAsia" w:ascii="仿宋_GB2312" w:hAnsi="仿宋_GB2312" w:eastAsia="仿宋_GB2312" w:cs="仿宋_GB2312"/>
          <w:sz w:val="32"/>
          <w:szCs w:val="32"/>
          <w:highlight w:val="none"/>
        </w:rPr>
        <w:fldChar w:fldCharType="end"/>
      </w:r>
    </w:p>
    <w:p w14:paraId="63D16B9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_Toc18905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五、一般公共预算财政拨款支出决算情况说明</w:t>
      </w:r>
      <w:r>
        <w:rPr>
          <w:rFonts w:hint="eastAsia" w:ascii="仿宋_GB2312" w:hAnsi="仿宋_GB2312" w:eastAsia="仿宋_GB2312" w:cs="仿宋_GB2312"/>
          <w:sz w:val="32"/>
          <w:szCs w:val="32"/>
          <w:highlight w:val="none"/>
        </w:rPr>
        <w:fldChar w:fldCharType="end"/>
      </w:r>
    </w:p>
    <w:p w14:paraId="752323E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_Toc1165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（一）一般公共预算财政拨款支出决算总体情况</w:t>
      </w:r>
      <w:r>
        <w:rPr>
          <w:rFonts w:hint="eastAsia" w:ascii="仿宋_GB2312" w:hAnsi="仿宋_GB2312" w:eastAsia="仿宋_GB2312" w:cs="仿宋_GB2312"/>
          <w:sz w:val="32"/>
          <w:szCs w:val="32"/>
          <w:highlight w:val="none"/>
        </w:rPr>
        <w:fldChar w:fldCharType="end"/>
      </w:r>
    </w:p>
    <w:p w14:paraId="65FD508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_Toc27147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（二）一般公共预算</w:t>
      </w:r>
      <w:r>
        <w:rPr>
          <w:rFonts w:hint="eastAsia" w:ascii="仿宋_GB2312" w:hAnsi="仿宋_GB2312" w:eastAsia="仿宋_GB2312" w:cs="仿宋_GB2312"/>
          <w:sz w:val="32"/>
          <w:szCs w:val="32"/>
          <w:highlight w:val="none"/>
          <w:lang w:val="en-US" w:eastAsia="zh-CN"/>
        </w:rPr>
        <w:t>财政拨款支出决算</w:t>
      </w:r>
      <w:r>
        <w:rPr>
          <w:rFonts w:hint="eastAsia" w:ascii="仿宋_GB2312" w:hAnsi="仿宋_GB2312" w:eastAsia="仿宋_GB2312" w:cs="仿宋_GB2312"/>
          <w:sz w:val="32"/>
          <w:szCs w:val="32"/>
          <w:highlight w:val="none"/>
          <w:lang w:eastAsia="zh-CN"/>
        </w:rPr>
        <w:t>结构情况</w:t>
      </w:r>
      <w:r>
        <w:rPr>
          <w:rFonts w:hint="eastAsia" w:ascii="仿宋_GB2312" w:hAnsi="仿宋_GB2312" w:eastAsia="仿宋_GB2312" w:cs="仿宋_GB2312"/>
          <w:sz w:val="32"/>
          <w:szCs w:val="32"/>
          <w:highlight w:val="none"/>
        </w:rPr>
        <w:fldChar w:fldCharType="end"/>
      </w:r>
    </w:p>
    <w:p w14:paraId="6BD03571">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_Toc10037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（三）一般公共预算财政拨款支出决算具体情况</w:t>
      </w:r>
      <w:r>
        <w:rPr>
          <w:rFonts w:hint="eastAsia" w:ascii="仿宋_GB2312" w:hAnsi="仿宋_GB2312" w:eastAsia="仿宋_GB2312" w:cs="仿宋_GB2312"/>
          <w:sz w:val="32"/>
          <w:szCs w:val="32"/>
          <w:highlight w:val="none"/>
        </w:rPr>
        <w:fldChar w:fldCharType="end"/>
      </w:r>
    </w:p>
    <w:p w14:paraId="1B749B64">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_Toc23415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六、一般公共预算财政拨款基本支出决算情况说明</w:t>
      </w:r>
      <w:r>
        <w:rPr>
          <w:rFonts w:hint="eastAsia" w:ascii="仿宋_GB2312" w:hAnsi="仿宋_GB2312" w:eastAsia="仿宋_GB2312" w:cs="仿宋_GB2312"/>
          <w:sz w:val="32"/>
          <w:szCs w:val="32"/>
          <w:highlight w:val="none"/>
        </w:rPr>
        <w:fldChar w:fldCharType="end"/>
      </w:r>
    </w:p>
    <w:p w14:paraId="46574738">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_Toc7523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七、</w:t>
      </w:r>
      <w:r>
        <w:rPr>
          <w:rFonts w:hint="eastAsia" w:ascii="仿宋_GB2312" w:hAnsi="仿宋_GB2312" w:eastAsia="仿宋_GB2312" w:cs="仿宋_GB2312"/>
          <w:bCs/>
          <w:kern w:val="0"/>
          <w:sz w:val="32"/>
          <w:szCs w:val="32"/>
          <w:highlight w:val="none"/>
          <w:lang w:eastAsia="zh-CN"/>
        </w:rPr>
        <w:t>政府性基金预算财政拨款收入支出决算情况说明</w:t>
      </w:r>
      <w:r>
        <w:rPr>
          <w:rFonts w:hint="eastAsia" w:ascii="仿宋_GB2312" w:hAnsi="仿宋_GB2312" w:eastAsia="仿宋_GB2312" w:cs="仿宋_GB2312"/>
          <w:sz w:val="32"/>
          <w:szCs w:val="32"/>
          <w:highlight w:val="none"/>
        </w:rPr>
        <w:fldChar w:fldCharType="end"/>
      </w:r>
    </w:p>
    <w:p w14:paraId="28638EA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_Toc5563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八</w:t>
      </w:r>
      <w:r>
        <w:rPr>
          <w:rFonts w:hint="eastAsia" w:ascii="仿宋_GB2312" w:hAnsi="仿宋_GB2312" w:eastAsia="仿宋_GB2312" w:cs="仿宋_GB2312"/>
          <w:bCs/>
          <w:kern w:val="0"/>
          <w:sz w:val="32"/>
          <w:szCs w:val="32"/>
          <w:highlight w:val="none"/>
          <w:lang w:eastAsia="zh-CN"/>
        </w:rPr>
        <w:t>、国有资本经营预算财政拨款收入支出决算情况说明</w:t>
      </w:r>
      <w:r>
        <w:rPr>
          <w:rFonts w:hint="eastAsia" w:ascii="仿宋_GB2312" w:hAnsi="仿宋_GB2312" w:eastAsia="仿宋_GB2312" w:cs="仿宋_GB2312"/>
          <w:sz w:val="32"/>
          <w:szCs w:val="32"/>
          <w:highlight w:val="none"/>
        </w:rPr>
        <w:fldChar w:fldCharType="end"/>
      </w:r>
    </w:p>
    <w:p w14:paraId="4BE8723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_Toc9161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lang w:eastAsia="zh-CN"/>
        </w:rPr>
        <w:t>、财政拨款</w:t>
      </w:r>
      <w:r>
        <w:rPr>
          <w:rFonts w:hint="eastAsia" w:ascii="仿宋_GB2312" w:hAnsi="仿宋_GB2312" w:eastAsia="仿宋_GB2312" w:cs="仿宋_GB2312"/>
          <w:bCs/>
          <w:kern w:val="0"/>
          <w:sz w:val="32"/>
          <w:szCs w:val="32"/>
          <w:highlight w:val="none"/>
        </w:rPr>
        <w:t>“三公”经费支出</w:t>
      </w:r>
      <w:r>
        <w:rPr>
          <w:rFonts w:hint="eastAsia" w:ascii="仿宋_GB2312" w:hAnsi="仿宋_GB2312" w:eastAsia="仿宋_GB2312" w:cs="仿宋_GB2312"/>
          <w:bCs/>
          <w:kern w:val="0"/>
          <w:sz w:val="32"/>
          <w:szCs w:val="32"/>
          <w:highlight w:val="none"/>
          <w:lang w:eastAsia="zh-CN"/>
        </w:rPr>
        <w:t>决算</w:t>
      </w:r>
      <w:r>
        <w:rPr>
          <w:rFonts w:hint="eastAsia" w:ascii="仿宋_GB2312" w:hAnsi="仿宋_GB2312" w:eastAsia="仿宋_GB2312" w:cs="仿宋_GB2312"/>
          <w:bCs/>
          <w:kern w:val="0"/>
          <w:sz w:val="32"/>
          <w:szCs w:val="32"/>
          <w:highlight w:val="none"/>
        </w:rPr>
        <w:t>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248C12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_Toc16395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rPr>
        <w:t>、其他重要事项的情况</w:t>
      </w:r>
      <w:r>
        <w:rPr>
          <w:rFonts w:hint="eastAsia" w:ascii="仿宋_GB2312" w:hAnsi="仿宋_GB2312" w:eastAsia="仿宋_GB2312" w:cs="仿宋_GB2312"/>
          <w:bCs/>
          <w:kern w:val="0"/>
          <w:sz w:val="32"/>
          <w:szCs w:val="32"/>
          <w:highlight w:val="none"/>
          <w:lang w:eastAsia="zh-CN"/>
        </w:rPr>
        <w:t>说明</w:t>
      </w:r>
      <w:r>
        <w:rPr>
          <w:rFonts w:hint="eastAsia" w:ascii="仿宋_GB2312" w:hAnsi="仿宋_GB2312" w:eastAsia="仿宋_GB2312" w:cs="仿宋_GB2312"/>
          <w:sz w:val="32"/>
          <w:szCs w:val="32"/>
          <w:highlight w:val="none"/>
        </w:rPr>
        <w:fldChar w:fldCharType="end"/>
      </w:r>
    </w:p>
    <w:p w14:paraId="66AB02AA">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_Toc21748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（一）</w:t>
      </w:r>
      <w:r>
        <w:rPr>
          <w:rFonts w:hint="eastAsia" w:ascii="仿宋_GB2312" w:hAnsi="仿宋_GB2312" w:eastAsia="仿宋_GB2312" w:cs="仿宋_GB2312"/>
          <w:sz w:val="32"/>
          <w:szCs w:val="32"/>
          <w:highlight w:val="none"/>
        </w:rPr>
        <w:t>机关运行经费</w:t>
      </w:r>
      <w:r>
        <w:rPr>
          <w:rFonts w:hint="eastAsia" w:ascii="仿宋_GB2312" w:hAnsi="仿宋_GB2312" w:eastAsia="仿宋_GB2312" w:cs="仿宋_GB2312"/>
          <w:sz w:val="32"/>
          <w:szCs w:val="32"/>
          <w:highlight w:val="none"/>
          <w:lang w:val="en-US" w:eastAsia="zh-CN"/>
        </w:rPr>
        <w:t>及公用经费</w:t>
      </w:r>
      <w:r>
        <w:rPr>
          <w:rFonts w:hint="eastAsia" w:ascii="仿宋_GB2312" w:hAnsi="仿宋_GB2312" w:eastAsia="仿宋_GB2312" w:cs="仿宋_GB2312"/>
          <w:sz w:val="32"/>
          <w:szCs w:val="32"/>
          <w:highlight w:val="none"/>
        </w:rPr>
        <w:t>支出情况</w:t>
      </w:r>
      <w:r>
        <w:rPr>
          <w:rFonts w:hint="eastAsia" w:ascii="仿宋_GB2312" w:hAnsi="仿宋_GB2312" w:eastAsia="仿宋_GB2312" w:cs="仿宋_GB2312"/>
          <w:sz w:val="32"/>
          <w:szCs w:val="32"/>
          <w:highlight w:val="none"/>
        </w:rPr>
        <w:fldChar w:fldCharType="end"/>
      </w:r>
    </w:p>
    <w:p w14:paraId="496130BB">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_Toc25177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（二）政府采购情况</w:t>
      </w:r>
      <w:r>
        <w:rPr>
          <w:rFonts w:hint="eastAsia" w:ascii="仿宋_GB2312" w:hAnsi="仿宋_GB2312" w:eastAsia="仿宋_GB2312" w:cs="仿宋_GB2312"/>
          <w:sz w:val="32"/>
          <w:szCs w:val="32"/>
          <w:highlight w:val="none"/>
        </w:rPr>
        <w:fldChar w:fldCharType="end"/>
      </w:r>
    </w:p>
    <w:p w14:paraId="5BAB1FC4">
      <w:pPr>
        <w:pStyle w:val="3"/>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_Toc31294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sz w:val="32"/>
          <w:szCs w:val="32"/>
          <w:highlight w:val="none"/>
          <w:lang w:eastAsia="zh-CN"/>
        </w:rPr>
        <w:t>（三）国有资产占用情况说明</w:t>
      </w:r>
      <w:r>
        <w:rPr>
          <w:rFonts w:hint="eastAsia" w:ascii="仿宋_GB2312" w:hAnsi="仿宋_GB2312" w:eastAsia="仿宋_GB2312" w:cs="仿宋_GB2312"/>
          <w:sz w:val="32"/>
          <w:szCs w:val="32"/>
          <w:highlight w:val="none"/>
        </w:rPr>
        <w:fldChar w:fldCharType="end"/>
      </w:r>
    </w:p>
    <w:p w14:paraId="0C8104BA">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_Toc17664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eastAsia="zh-CN"/>
        </w:rPr>
        <w:t>十</w:t>
      </w:r>
      <w:r>
        <w:rPr>
          <w:rFonts w:hint="eastAsia" w:ascii="仿宋_GB2312" w:hAnsi="仿宋_GB2312" w:eastAsia="仿宋_GB2312" w:cs="仿宋_GB2312"/>
          <w:bCs/>
          <w:kern w:val="0"/>
          <w:sz w:val="32"/>
          <w:szCs w:val="32"/>
          <w:highlight w:val="none"/>
          <w:lang w:val="en-US" w:eastAsia="zh-CN"/>
        </w:rPr>
        <w:t>一</w:t>
      </w:r>
      <w:r>
        <w:rPr>
          <w:rFonts w:hint="eastAsia" w:ascii="仿宋_GB2312" w:hAnsi="仿宋_GB2312" w:eastAsia="仿宋_GB2312" w:cs="仿宋_GB2312"/>
          <w:bCs/>
          <w:kern w:val="0"/>
          <w:sz w:val="32"/>
          <w:szCs w:val="32"/>
          <w:highlight w:val="none"/>
          <w:lang w:eastAsia="zh-CN"/>
        </w:rPr>
        <w:t>、预算绩效的情况说明</w:t>
      </w:r>
      <w:r>
        <w:rPr>
          <w:rFonts w:hint="eastAsia" w:ascii="仿宋_GB2312" w:hAnsi="仿宋_GB2312" w:eastAsia="仿宋_GB2312" w:cs="仿宋_GB2312"/>
          <w:sz w:val="32"/>
          <w:szCs w:val="32"/>
          <w:highlight w:val="none"/>
        </w:rPr>
        <w:fldChar w:fldCharType="end"/>
      </w:r>
    </w:p>
    <w:p w14:paraId="071C926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十二、其他需说明的事项</w:t>
      </w:r>
    </w:p>
    <w:p w14:paraId="4074BAF6">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_Toc30038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w:t>
      </w:r>
      <w:r>
        <w:rPr>
          <w:rFonts w:hint="eastAsia" w:ascii="仿宋_GB2312" w:hAnsi="仿宋_GB2312" w:eastAsia="仿宋_GB2312" w:cs="仿宋_GB2312"/>
          <w:b/>
          <w:bCs/>
          <w:sz w:val="32"/>
          <w:szCs w:val="32"/>
          <w:highlight w:val="none"/>
          <w:lang w:val="en-US" w:eastAsia="zh-CN"/>
        </w:rPr>
        <w:t>三</w:t>
      </w:r>
      <w:r>
        <w:rPr>
          <w:rFonts w:hint="eastAsia" w:ascii="仿宋_GB2312" w:hAnsi="仿宋_GB2312" w:eastAsia="仿宋_GB2312" w:cs="仿宋_GB2312"/>
          <w:b/>
          <w:bCs/>
          <w:sz w:val="32"/>
          <w:szCs w:val="32"/>
          <w:highlight w:val="none"/>
        </w:rPr>
        <w:t>部分 专业名词解释</w:t>
      </w:r>
      <w:r>
        <w:rPr>
          <w:rFonts w:hint="eastAsia" w:ascii="仿宋_GB2312" w:hAnsi="仿宋_GB2312" w:eastAsia="仿宋_GB2312" w:cs="仿宋_GB2312"/>
          <w:b/>
          <w:bCs/>
          <w:sz w:val="32"/>
          <w:szCs w:val="32"/>
          <w:highlight w:val="none"/>
        </w:rPr>
        <w:fldChar w:fldCharType="end"/>
      </w:r>
    </w:p>
    <w:p w14:paraId="35BDB0CB">
      <w:pPr>
        <w:pStyle w:val="6"/>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b/>
          <w:bCs/>
          <w:sz w:val="32"/>
          <w:szCs w:val="32"/>
          <w:highlight w:val="none"/>
        </w:rPr>
      </w:pPr>
      <w:r>
        <w:rPr>
          <w:rFonts w:hint="eastAsia" w:ascii="仿宋_GB2312" w:hAnsi="仿宋_GB2312" w:eastAsia="仿宋_GB2312" w:cs="仿宋_GB2312"/>
          <w:b/>
          <w:bCs/>
          <w:sz w:val="32"/>
          <w:szCs w:val="32"/>
          <w:highlight w:val="none"/>
        </w:rPr>
        <w:fldChar w:fldCharType="begin"/>
      </w:r>
      <w:r>
        <w:rPr>
          <w:rFonts w:hint="eastAsia" w:ascii="仿宋_GB2312" w:hAnsi="仿宋_GB2312" w:eastAsia="仿宋_GB2312" w:cs="仿宋_GB2312"/>
          <w:b/>
          <w:bCs/>
          <w:sz w:val="32"/>
          <w:szCs w:val="32"/>
          <w:highlight w:val="none"/>
        </w:rPr>
        <w:instrText xml:space="preserve"> HYPERLINK \l _Toc6831 </w:instrText>
      </w:r>
      <w:r>
        <w:rPr>
          <w:rFonts w:hint="eastAsia" w:ascii="仿宋_GB2312" w:hAnsi="仿宋_GB2312" w:eastAsia="仿宋_GB2312" w:cs="仿宋_GB2312"/>
          <w:b/>
          <w:bCs/>
          <w:sz w:val="32"/>
          <w:szCs w:val="32"/>
          <w:highlight w:val="none"/>
        </w:rPr>
        <w:fldChar w:fldCharType="separate"/>
      </w:r>
      <w:r>
        <w:rPr>
          <w:rFonts w:hint="eastAsia" w:ascii="仿宋_GB2312" w:hAnsi="仿宋_GB2312" w:eastAsia="仿宋_GB2312" w:cs="仿宋_GB2312"/>
          <w:b/>
          <w:bCs/>
          <w:sz w:val="32"/>
          <w:szCs w:val="32"/>
          <w:highlight w:val="none"/>
        </w:rPr>
        <w:t>第四部分 部门决算报表（见附表）</w:t>
      </w:r>
      <w:r>
        <w:rPr>
          <w:rFonts w:hint="eastAsia" w:ascii="仿宋_GB2312" w:hAnsi="仿宋_GB2312" w:eastAsia="仿宋_GB2312" w:cs="仿宋_GB2312"/>
          <w:b/>
          <w:bCs/>
          <w:sz w:val="32"/>
          <w:szCs w:val="32"/>
          <w:highlight w:val="none"/>
        </w:rPr>
        <w:fldChar w:fldCharType="end"/>
      </w:r>
    </w:p>
    <w:p w14:paraId="2F2F73B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_Toc3845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一、《收入支出决算总表》</w:t>
      </w:r>
      <w:r>
        <w:rPr>
          <w:rFonts w:hint="eastAsia" w:ascii="仿宋_GB2312" w:hAnsi="仿宋_GB2312" w:eastAsia="仿宋_GB2312" w:cs="仿宋_GB2312"/>
          <w:sz w:val="32"/>
          <w:szCs w:val="32"/>
          <w:highlight w:val="none"/>
        </w:rPr>
        <w:fldChar w:fldCharType="end"/>
      </w:r>
    </w:p>
    <w:p w14:paraId="09075C8C">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_Toc11927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二、《收入决算表》</w:t>
      </w:r>
      <w:r>
        <w:rPr>
          <w:rFonts w:hint="eastAsia" w:ascii="仿宋_GB2312" w:hAnsi="仿宋_GB2312" w:eastAsia="仿宋_GB2312" w:cs="仿宋_GB2312"/>
          <w:sz w:val="32"/>
          <w:szCs w:val="32"/>
          <w:highlight w:val="none"/>
        </w:rPr>
        <w:fldChar w:fldCharType="end"/>
      </w:r>
    </w:p>
    <w:p w14:paraId="1551A43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_Toc7443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三、《支出决算表》</w:t>
      </w:r>
      <w:r>
        <w:rPr>
          <w:rFonts w:hint="eastAsia" w:ascii="仿宋_GB2312" w:hAnsi="仿宋_GB2312" w:eastAsia="仿宋_GB2312" w:cs="仿宋_GB2312"/>
          <w:sz w:val="32"/>
          <w:szCs w:val="32"/>
          <w:highlight w:val="none"/>
        </w:rPr>
        <w:fldChar w:fldCharType="end"/>
      </w:r>
    </w:p>
    <w:p w14:paraId="602EBD53">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_Toc24884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四、《财政拨款收入支出决算总表》</w:t>
      </w:r>
      <w:r>
        <w:rPr>
          <w:rFonts w:hint="eastAsia" w:ascii="仿宋_GB2312" w:hAnsi="仿宋_GB2312" w:eastAsia="仿宋_GB2312" w:cs="仿宋_GB2312"/>
          <w:sz w:val="32"/>
          <w:szCs w:val="32"/>
          <w:highlight w:val="none"/>
        </w:rPr>
        <w:fldChar w:fldCharType="end"/>
      </w:r>
    </w:p>
    <w:p w14:paraId="7CCE8969">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_Toc16518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五、《一般公共预算财政拨款支出决算表》</w:t>
      </w:r>
      <w:r>
        <w:rPr>
          <w:rFonts w:hint="eastAsia" w:ascii="仿宋_GB2312" w:hAnsi="仿宋_GB2312" w:eastAsia="仿宋_GB2312" w:cs="仿宋_GB2312"/>
          <w:sz w:val="32"/>
          <w:szCs w:val="32"/>
          <w:highlight w:val="none"/>
        </w:rPr>
        <w:fldChar w:fldCharType="end"/>
      </w:r>
    </w:p>
    <w:p w14:paraId="0F457412">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_Toc20514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六、《一般公共预算财政拨款基本支出决算表》</w:t>
      </w:r>
      <w:r>
        <w:rPr>
          <w:rFonts w:hint="eastAsia" w:ascii="仿宋_GB2312" w:hAnsi="仿宋_GB2312" w:eastAsia="仿宋_GB2312" w:cs="仿宋_GB2312"/>
          <w:sz w:val="32"/>
          <w:szCs w:val="32"/>
          <w:highlight w:val="none"/>
        </w:rPr>
        <w:fldChar w:fldCharType="end"/>
      </w:r>
    </w:p>
    <w:p w14:paraId="7AFC390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_Toc18055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七、《政府性基金预算财政拨款收入支出决算表》</w:t>
      </w:r>
      <w:r>
        <w:rPr>
          <w:rFonts w:hint="eastAsia" w:ascii="仿宋_GB2312" w:hAnsi="仿宋_GB2312" w:eastAsia="仿宋_GB2312" w:cs="仿宋_GB2312"/>
          <w:sz w:val="32"/>
          <w:szCs w:val="32"/>
          <w:highlight w:val="none"/>
        </w:rPr>
        <w:fldChar w:fldCharType="end"/>
      </w:r>
    </w:p>
    <w:p w14:paraId="76C39016">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_Toc10719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rPr>
        <w:t>八、《</w:t>
      </w:r>
      <w:r>
        <w:rPr>
          <w:rFonts w:hint="eastAsia" w:ascii="仿宋_GB2312" w:hAnsi="仿宋_GB2312" w:eastAsia="仿宋_GB2312" w:cs="仿宋_GB2312"/>
          <w:bCs/>
          <w:kern w:val="0"/>
          <w:sz w:val="32"/>
          <w:szCs w:val="32"/>
          <w:highlight w:val="none"/>
          <w:lang w:eastAsia="zh-CN"/>
        </w:rPr>
        <w:t>国有资本经营</w:t>
      </w:r>
      <w:r>
        <w:rPr>
          <w:rFonts w:hint="eastAsia" w:ascii="仿宋_GB2312" w:hAnsi="仿宋_GB2312" w:eastAsia="仿宋_GB2312" w:cs="仿宋_GB2312"/>
          <w:bCs/>
          <w:kern w:val="0"/>
          <w:sz w:val="32"/>
          <w:szCs w:val="32"/>
          <w:highlight w:val="none"/>
        </w:rPr>
        <w:t>预算财政拨款收入支出决算表》</w:t>
      </w:r>
      <w:r>
        <w:rPr>
          <w:rFonts w:hint="eastAsia" w:ascii="仿宋_GB2312" w:hAnsi="仿宋_GB2312" w:eastAsia="仿宋_GB2312" w:cs="仿宋_GB2312"/>
          <w:sz w:val="32"/>
          <w:szCs w:val="32"/>
          <w:highlight w:val="none"/>
        </w:rPr>
        <w:fldChar w:fldCharType="end"/>
      </w:r>
    </w:p>
    <w:p w14:paraId="307A4C9B">
      <w:pPr>
        <w:pStyle w:val="7"/>
        <w:keepNext w:val="0"/>
        <w:keepLines w:val="0"/>
        <w:pageBreakBefore w:val="0"/>
        <w:widowControl w:val="0"/>
        <w:tabs>
          <w:tab w:val="right" w:leader="do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fldChar w:fldCharType="begin"/>
      </w:r>
      <w:r>
        <w:rPr>
          <w:rFonts w:hint="eastAsia" w:ascii="仿宋_GB2312" w:hAnsi="仿宋_GB2312" w:eastAsia="仿宋_GB2312" w:cs="仿宋_GB2312"/>
          <w:sz w:val="32"/>
          <w:szCs w:val="32"/>
          <w:highlight w:val="none"/>
        </w:rPr>
        <w:instrText xml:space="preserve"> HYPERLINK \l _Toc18861 </w:instrText>
      </w:r>
      <w:r>
        <w:rPr>
          <w:rFonts w:hint="eastAsia" w:ascii="仿宋_GB2312" w:hAnsi="仿宋_GB2312" w:eastAsia="仿宋_GB2312" w:cs="仿宋_GB2312"/>
          <w:sz w:val="32"/>
          <w:szCs w:val="32"/>
          <w:highlight w:val="none"/>
        </w:rPr>
        <w:fldChar w:fldCharType="separate"/>
      </w:r>
      <w:r>
        <w:rPr>
          <w:rFonts w:hint="eastAsia" w:ascii="仿宋_GB2312" w:hAnsi="仿宋_GB2312" w:eastAsia="仿宋_GB2312" w:cs="仿宋_GB2312"/>
          <w:bCs/>
          <w:kern w:val="0"/>
          <w:sz w:val="32"/>
          <w:szCs w:val="32"/>
          <w:highlight w:val="none"/>
          <w:lang w:val="en-US" w:eastAsia="zh-CN"/>
        </w:rPr>
        <w:t>九</w:t>
      </w:r>
      <w:r>
        <w:rPr>
          <w:rFonts w:hint="eastAsia" w:ascii="仿宋_GB2312" w:hAnsi="仿宋_GB2312" w:eastAsia="仿宋_GB2312" w:cs="仿宋_GB2312"/>
          <w:bCs/>
          <w:kern w:val="0"/>
          <w:sz w:val="32"/>
          <w:szCs w:val="32"/>
          <w:highlight w:val="none"/>
        </w:rPr>
        <w:t>、《财政拨款“三公”经费支出决算表》</w:t>
      </w:r>
      <w:r>
        <w:rPr>
          <w:rFonts w:hint="eastAsia" w:ascii="仿宋_GB2312" w:hAnsi="仿宋_GB2312" w:eastAsia="仿宋_GB2312" w:cs="仿宋_GB2312"/>
          <w:sz w:val="32"/>
          <w:szCs w:val="32"/>
          <w:highlight w:val="none"/>
        </w:rPr>
        <w:fldChar w:fldCharType="end"/>
      </w:r>
    </w:p>
    <w:p w14:paraId="784583FA">
      <w:pPr>
        <w:pStyle w:val="7"/>
        <w:keepNext w:val="0"/>
        <w:keepLines w:val="0"/>
        <w:pageBreakBefore w:val="0"/>
        <w:widowControl w:val="0"/>
        <w:tabs>
          <w:tab w:val="right" w:pos="8306"/>
        </w:tabs>
        <w:kinsoku/>
        <w:wordWrap/>
        <w:overflowPunct/>
        <w:topLinePunct w:val="0"/>
        <w:autoSpaceDE/>
        <w:autoSpaceDN/>
        <w:bidi w:val="0"/>
        <w:adjustRightInd/>
        <w:snapToGrid/>
        <w:ind w:left="0" w:leftChars="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rPr>
        <w:fldChar w:fldCharType="end"/>
      </w:r>
    </w:p>
    <w:p w14:paraId="4EFA9AD9">
      <w:r>
        <w:br w:type="page"/>
      </w:r>
    </w:p>
    <w:p w14:paraId="79A4BF9F">
      <w:pPr>
        <w:spacing w:line="640" w:lineRule="exact"/>
        <w:jc w:val="center"/>
        <w:outlineLvl w:val="1"/>
      </w:pPr>
      <w:r>
        <w:rPr>
          <w:rFonts w:ascii="黑体" w:hAnsi="黑体" w:eastAsia="黑体"/>
          <w:sz w:val="32"/>
        </w:rPr>
        <w:t>第一部分 单位概况</w:t>
      </w:r>
    </w:p>
    <w:p w14:paraId="55BD84E5">
      <w:pPr>
        <w:spacing w:line="640" w:lineRule="exact"/>
        <w:ind w:firstLine="640"/>
        <w:jc w:val="both"/>
        <w:outlineLvl w:val="2"/>
      </w:pPr>
      <w:r>
        <w:rPr>
          <w:rFonts w:ascii="黑体" w:hAnsi="黑体" w:eastAsia="黑体"/>
          <w:sz w:val="32"/>
        </w:rPr>
        <w:t>一、主要职能</w:t>
      </w:r>
    </w:p>
    <w:p w14:paraId="635A30D9">
      <w:pPr>
        <w:spacing w:line="580" w:lineRule="exact"/>
        <w:ind w:firstLine="640"/>
        <w:jc w:val="both"/>
      </w:pPr>
      <w:r>
        <w:rPr>
          <w:rFonts w:ascii="仿宋_GB2312" w:hAnsi="仿宋_GB2312" w:eastAsia="仿宋_GB2312"/>
          <w:sz w:val="32"/>
        </w:rPr>
        <w:t>本单位主要职能不予公开。</w:t>
      </w:r>
    </w:p>
    <w:p w14:paraId="77524E60">
      <w:pPr>
        <w:spacing w:line="640" w:lineRule="exact"/>
        <w:ind w:firstLine="640"/>
        <w:jc w:val="both"/>
        <w:outlineLvl w:val="2"/>
      </w:pPr>
      <w:r>
        <w:rPr>
          <w:rFonts w:ascii="黑体" w:hAnsi="黑体" w:eastAsia="黑体"/>
          <w:sz w:val="32"/>
        </w:rPr>
        <w:t>二、机构设置及人员情况</w:t>
      </w:r>
    </w:p>
    <w:p w14:paraId="41A01136">
      <w:pPr>
        <w:spacing w:line="580" w:lineRule="exact"/>
        <w:ind w:firstLine="640"/>
        <w:jc w:val="both"/>
      </w:pPr>
      <w:r>
        <w:rPr>
          <w:rFonts w:ascii="仿宋_GB2312" w:hAnsi="仿宋_GB2312" w:eastAsia="仿宋_GB2312"/>
          <w:sz w:val="32"/>
        </w:rPr>
        <w:t>阜康市人民检察院2024年度，实有人数57人，其中：在职人员34人，增加2人；离休人员0人，增加0人；退休人员23人,增加1人。</w:t>
      </w:r>
    </w:p>
    <w:p w14:paraId="3C24FCDA">
      <w:pPr>
        <w:spacing w:line="580" w:lineRule="exact"/>
        <w:ind w:firstLine="640"/>
        <w:jc w:val="both"/>
      </w:pPr>
      <w:r>
        <w:rPr>
          <w:rFonts w:ascii="仿宋_GB2312" w:hAnsi="仿宋_GB2312" w:eastAsia="仿宋_GB2312"/>
          <w:sz w:val="32"/>
        </w:rPr>
        <w:t>阜康市人民检察院无下属预算单位，下设5个科室，分别是：第一检察部、第二检察部、第三检察部、政治部、办公室。</w:t>
      </w:r>
    </w:p>
    <w:p w14:paraId="7DBCBE3A">
      <w:r>
        <w:br w:type="page"/>
      </w:r>
    </w:p>
    <w:p w14:paraId="63D2A98B">
      <w:pPr>
        <w:spacing w:line="240" w:lineRule="auto"/>
        <w:jc w:val="center"/>
        <w:outlineLvl w:val="1"/>
      </w:pPr>
      <w:r>
        <w:rPr>
          <w:rFonts w:ascii="黑体" w:hAnsi="黑体" w:eastAsia="黑体"/>
          <w:sz w:val="32"/>
        </w:rPr>
        <w:t>第二部分 部门决算情况说明</w:t>
      </w:r>
    </w:p>
    <w:p w14:paraId="57AA22EF">
      <w:pPr>
        <w:spacing w:line="640" w:lineRule="exact"/>
        <w:ind w:firstLine="640"/>
        <w:jc w:val="both"/>
        <w:outlineLvl w:val="2"/>
      </w:pPr>
      <w:r>
        <w:rPr>
          <w:rFonts w:ascii="黑体" w:hAnsi="黑体" w:eastAsia="黑体"/>
          <w:sz w:val="32"/>
        </w:rPr>
        <w:t>一、收入支出决算总体情况说明</w:t>
      </w:r>
    </w:p>
    <w:p w14:paraId="7273ECBC">
      <w:pPr>
        <w:spacing w:line="580" w:lineRule="exact"/>
        <w:ind w:firstLine="640"/>
        <w:jc w:val="both"/>
      </w:pPr>
      <w:r>
        <w:rPr>
          <w:rFonts w:ascii="仿宋_GB2312" w:hAnsi="仿宋_GB2312" w:eastAsia="仿宋_GB2312"/>
          <w:b/>
          <w:sz w:val="32"/>
        </w:rPr>
        <w:t>2024年度收入总计1,150.04万元，</w:t>
      </w:r>
      <w:r>
        <w:rPr>
          <w:rFonts w:ascii="仿宋_GB2312" w:hAnsi="仿宋_GB2312" w:eastAsia="仿宋_GB2312"/>
          <w:b w:val="0"/>
          <w:sz w:val="32"/>
        </w:rPr>
        <w:t>其中：本年收入合计1,150.04万元，使用非财政拨款结余（含专用结余）0.00万元，年初结转和结余0.00万元。</w:t>
      </w:r>
    </w:p>
    <w:p w14:paraId="349F6FE3">
      <w:pPr>
        <w:spacing w:line="580" w:lineRule="exact"/>
        <w:ind w:firstLine="640"/>
        <w:jc w:val="both"/>
      </w:pPr>
      <w:r>
        <w:rPr>
          <w:rFonts w:ascii="仿宋_GB2312" w:hAnsi="仿宋_GB2312" w:eastAsia="仿宋_GB2312"/>
          <w:b/>
          <w:sz w:val="32"/>
        </w:rPr>
        <w:t>2024年度支出总计1,150.04万元，</w:t>
      </w:r>
      <w:r>
        <w:rPr>
          <w:rFonts w:ascii="仿宋_GB2312" w:hAnsi="仿宋_GB2312" w:eastAsia="仿宋_GB2312"/>
          <w:b w:val="0"/>
          <w:sz w:val="32"/>
        </w:rPr>
        <w:t>其中：本年支出合计</w:t>
      </w:r>
      <w:r>
        <w:rPr>
          <w:rFonts w:ascii="仿宋_GB2312" w:hAnsi="仿宋_GB2312" w:eastAsia="仿宋_GB2312"/>
          <w:b w:val="0"/>
          <w:w w:val="97"/>
          <w:sz w:val="32"/>
        </w:rPr>
        <w:t>1,150.04万元，结余分配0.00万元，年末结转和结余0.00万元。</w:t>
      </w:r>
    </w:p>
    <w:p w14:paraId="43F774A0">
      <w:pPr>
        <w:spacing w:line="580" w:lineRule="exact"/>
        <w:ind w:firstLine="640"/>
        <w:jc w:val="both"/>
      </w:pPr>
      <w:r>
        <w:rPr>
          <w:rFonts w:ascii="仿宋_GB2312" w:hAnsi="仿宋_GB2312" w:eastAsia="仿宋_GB2312"/>
          <w:b w:val="0"/>
          <w:sz w:val="32"/>
        </w:rPr>
        <w:t>收入支出总体与上年相比，减少128.56万元，下降10.05%，主要原因是：本年</w:t>
      </w:r>
      <w:r>
        <w:rPr>
          <w:rFonts w:hint="eastAsia" w:ascii="仿宋_GB2312" w:hAnsi="仿宋_GB2312" w:eastAsia="仿宋_GB2312"/>
          <w:b w:val="0"/>
          <w:sz w:val="32"/>
          <w:lang w:val="en-US" w:eastAsia="zh-CN"/>
        </w:rPr>
        <w:t>减少</w:t>
      </w:r>
      <w:r>
        <w:rPr>
          <w:rFonts w:hint="eastAsia" w:ascii="仿宋_GB2312" w:hAnsi="仿宋_GB2312" w:eastAsia="仿宋_GB2312"/>
          <w:b w:val="0"/>
          <w:sz w:val="32"/>
        </w:rPr>
        <w:t>援疆资金拨办公经费、偿还</w:t>
      </w:r>
      <w:bookmarkStart w:id="0" w:name="_GoBack"/>
      <w:r>
        <w:rPr>
          <w:rFonts w:hint="eastAsia" w:ascii="仿宋_GB2312" w:hAnsi="仿宋_GB2312" w:eastAsia="仿宋_GB2312"/>
          <w:b w:val="0"/>
          <w:sz w:val="32"/>
        </w:rPr>
        <w:t>两房</w:t>
      </w:r>
      <w:bookmarkEnd w:id="0"/>
      <w:r>
        <w:rPr>
          <w:rFonts w:hint="eastAsia" w:ascii="仿宋_GB2312" w:hAnsi="仿宋_GB2312" w:eastAsia="仿宋_GB2312"/>
          <w:b w:val="0"/>
          <w:sz w:val="32"/>
        </w:rPr>
        <w:t>债务</w:t>
      </w:r>
      <w:r>
        <w:rPr>
          <w:rFonts w:ascii="仿宋_GB2312" w:hAnsi="仿宋_GB2312" w:eastAsia="仿宋_GB2312"/>
          <w:b w:val="0"/>
          <w:sz w:val="32"/>
        </w:rPr>
        <w:t>，导致经费较上年减少。</w:t>
      </w:r>
    </w:p>
    <w:p w14:paraId="1B04006A">
      <w:pPr>
        <w:spacing w:line="640" w:lineRule="exact"/>
        <w:ind w:firstLine="640"/>
        <w:jc w:val="both"/>
        <w:outlineLvl w:val="2"/>
      </w:pPr>
      <w:r>
        <w:rPr>
          <w:rFonts w:ascii="黑体" w:hAnsi="黑体" w:eastAsia="黑体"/>
          <w:sz w:val="32"/>
        </w:rPr>
        <w:t>二、收入决算情况说明</w:t>
      </w:r>
    </w:p>
    <w:p w14:paraId="3A3D7CF2">
      <w:pPr>
        <w:spacing w:line="580" w:lineRule="exact"/>
        <w:ind w:firstLine="640"/>
        <w:jc w:val="both"/>
      </w:pPr>
      <w:r>
        <w:rPr>
          <w:rFonts w:ascii="仿宋_GB2312" w:hAnsi="仿宋_GB2312" w:eastAsia="仿宋_GB2312"/>
          <w:b/>
          <w:sz w:val="32"/>
        </w:rPr>
        <w:t>本年收入1,150.04万元，</w:t>
      </w:r>
      <w:r>
        <w:rPr>
          <w:rFonts w:ascii="仿宋_GB2312" w:hAnsi="仿宋_GB2312" w:eastAsia="仿宋_GB2312"/>
          <w:b w:val="0"/>
          <w:sz w:val="32"/>
        </w:rPr>
        <w:t>其中：财政拨款收入1,090.04万元，占94.78%；上级补助收入0.00万元，占0.00%；事业收入0.00万元，占0.00%；经营收入0.00万元，占0.00%；附属单位上缴收入0.00万元，占0.00%；其他收入60.00万元，占5.22%。</w:t>
      </w:r>
    </w:p>
    <w:p w14:paraId="089BBA67">
      <w:pPr>
        <w:spacing w:line="640" w:lineRule="exact"/>
        <w:ind w:firstLine="640"/>
        <w:jc w:val="both"/>
        <w:outlineLvl w:val="2"/>
      </w:pPr>
      <w:r>
        <w:rPr>
          <w:rFonts w:ascii="黑体" w:hAnsi="黑体" w:eastAsia="黑体"/>
          <w:sz w:val="32"/>
        </w:rPr>
        <w:t>三、支出决算情况说明</w:t>
      </w:r>
    </w:p>
    <w:p w14:paraId="6C9179B8">
      <w:pPr>
        <w:spacing w:line="580" w:lineRule="exact"/>
        <w:ind w:firstLine="640"/>
        <w:jc w:val="both"/>
      </w:pPr>
      <w:r>
        <w:rPr>
          <w:rFonts w:ascii="仿宋_GB2312" w:hAnsi="仿宋_GB2312" w:eastAsia="仿宋_GB2312"/>
          <w:b/>
          <w:sz w:val="32"/>
        </w:rPr>
        <w:t>本年支出1,150.04万元，</w:t>
      </w:r>
      <w:r>
        <w:rPr>
          <w:rFonts w:ascii="仿宋_GB2312" w:hAnsi="仿宋_GB2312" w:eastAsia="仿宋_GB2312"/>
          <w:b w:val="0"/>
          <w:sz w:val="32"/>
        </w:rPr>
        <w:t>其中：基本支出894.68万元，占77.80%；项目支出255.36万元，占22.20%；上缴上级支出0.00万元，占0.00%；经营支出0.00万元，占0.00%；对附属单位补助支出0.00万元，占0.00%。</w:t>
      </w:r>
    </w:p>
    <w:p w14:paraId="424B3D5F">
      <w:pPr>
        <w:spacing w:line="640" w:lineRule="exact"/>
        <w:ind w:firstLine="640"/>
        <w:jc w:val="both"/>
        <w:outlineLvl w:val="2"/>
      </w:pPr>
      <w:r>
        <w:rPr>
          <w:rFonts w:ascii="黑体" w:hAnsi="黑体" w:eastAsia="黑体"/>
          <w:sz w:val="32"/>
        </w:rPr>
        <w:t>四、财政拨款收入支出决算总体情况说明</w:t>
      </w:r>
    </w:p>
    <w:p w14:paraId="5D69DB1C">
      <w:pPr>
        <w:spacing w:line="580" w:lineRule="exact"/>
        <w:ind w:firstLine="640"/>
        <w:jc w:val="both"/>
      </w:pPr>
      <w:r>
        <w:rPr>
          <w:rFonts w:ascii="仿宋_GB2312" w:hAnsi="仿宋_GB2312" w:eastAsia="仿宋_GB2312"/>
          <w:b/>
          <w:sz w:val="32"/>
        </w:rPr>
        <w:t>2024年度财政拨款收入总计1,090.04万元，</w:t>
      </w:r>
      <w:r>
        <w:rPr>
          <w:rFonts w:ascii="仿宋_GB2312" w:hAnsi="仿宋_GB2312" w:eastAsia="仿宋_GB2312"/>
          <w:b w:val="0"/>
          <w:sz w:val="32"/>
        </w:rPr>
        <w:t>其中：年初财政拨款结转和结余0.00万元，本年财政拨款收入1,090.04万元。</w:t>
      </w:r>
      <w:r>
        <w:rPr>
          <w:rFonts w:ascii="仿宋_GB2312" w:hAnsi="仿宋_GB2312" w:eastAsia="仿宋_GB2312"/>
          <w:b/>
          <w:sz w:val="32"/>
        </w:rPr>
        <w:t>财政拨款支出总计1,090.04万元，</w:t>
      </w:r>
      <w:r>
        <w:rPr>
          <w:rFonts w:ascii="仿宋_GB2312" w:hAnsi="仿宋_GB2312" w:eastAsia="仿宋_GB2312"/>
          <w:b w:val="0"/>
          <w:sz w:val="32"/>
        </w:rPr>
        <w:t>其中：年末财政拨款结转和结余0.00万元，本年财政拨款支出1,090.04万元。</w:t>
      </w:r>
    </w:p>
    <w:p w14:paraId="0E16EB96">
      <w:pPr>
        <w:spacing w:line="580" w:lineRule="exact"/>
        <w:ind w:firstLine="640"/>
        <w:jc w:val="both"/>
      </w:pPr>
      <w:r>
        <w:rPr>
          <w:rFonts w:ascii="仿宋_GB2312" w:hAnsi="仿宋_GB2312" w:eastAsia="仿宋_GB2312"/>
          <w:b/>
          <w:sz w:val="32"/>
        </w:rPr>
        <w:t>财政拨款收入支出总体与上年相比，</w:t>
      </w:r>
      <w:r>
        <w:rPr>
          <w:rFonts w:ascii="仿宋_GB2312" w:hAnsi="仿宋_GB2312" w:eastAsia="仿宋_GB2312"/>
          <w:b w:val="0"/>
          <w:sz w:val="32"/>
        </w:rPr>
        <w:t>增加11.89万元，增长1.10%，主要原因是：本年在职人员增加，在职人员工资调增、社保、公积金基数调增，人员经费增加。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975.63万元，决算数1,090.04万元，预决算差异率11.73%，主要原因是：本年在职人员增加，年中追加人员经费及人员工资、社保、公积金基数调增部分资金，年中追加中央政法纪检监察转移政法资金项目经费，导致预决算存在差异。</w:t>
      </w:r>
    </w:p>
    <w:p w14:paraId="10C90082">
      <w:pPr>
        <w:spacing w:line="640" w:lineRule="exact"/>
        <w:ind w:firstLine="640"/>
        <w:jc w:val="both"/>
        <w:outlineLvl w:val="2"/>
      </w:pPr>
      <w:r>
        <w:rPr>
          <w:rFonts w:ascii="黑体" w:hAnsi="黑体" w:eastAsia="黑体"/>
          <w:sz w:val="32"/>
        </w:rPr>
        <w:t>五、一般公共预算财政拨款支出决算情况说明</w:t>
      </w:r>
    </w:p>
    <w:p w14:paraId="1985BCF6">
      <w:pPr>
        <w:spacing w:line="640" w:lineRule="exact"/>
        <w:ind w:firstLine="640"/>
        <w:jc w:val="both"/>
        <w:outlineLvl w:val="3"/>
      </w:pPr>
      <w:r>
        <w:rPr>
          <w:rFonts w:ascii="楷体_GB2312" w:hAnsi="楷体_GB2312" w:eastAsia="楷体_GB2312"/>
          <w:b/>
          <w:sz w:val="32"/>
        </w:rPr>
        <w:t>（一）一般公共预算财政拨款支出决算总体情况</w:t>
      </w:r>
    </w:p>
    <w:p w14:paraId="63E28473">
      <w:pPr>
        <w:spacing w:line="580" w:lineRule="exact"/>
        <w:ind w:firstLine="640"/>
        <w:jc w:val="both"/>
      </w:pPr>
      <w:r>
        <w:rPr>
          <w:rFonts w:ascii="仿宋_GB2312" w:hAnsi="仿宋_GB2312" w:eastAsia="仿宋_GB2312"/>
          <w:b/>
          <w:sz w:val="32"/>
        </w:rPr>
        <w:t>2024年度一般公共预算财政拨款支出1,090.04万元，</w:t>
      </w:r>
      <w:r>
        <w:rPr>
          <w:rFonts w:ascii="仿宋_GB2312" w:hAnsi="仿宋_GB2312" w:eastAsia="仿宋_GB2312"/>
          <w:b w:val="0"/>
          <w:sz w:val="32"/>
        </w:rPr>
        <w:t>占本年支出合计的94.78%。</w:t>
      </w:r>
      <w:r>
        <w:rPr>
          <w:rFonts w:ascii="仿宋_GB2312" w:hAnsi="仿宋_GB2312" w:eastAsia="仿宋_GB2312"/>
          <w:b/>
          <w:sz w:val="32"/>
        </w:rPr>
        <w:t>与上年相比，</w:t>
      </w:r>
      <w:r>
        <w:rPr>
          <w:rFonts w:ascii="仿宋_GB2312" w:hAnsi="仿宋_GB2312" w:eastAsia="仿宋_GB2312"/>
          <w:b w:val="0"/>
          <w:sz w:val="32"/>
        </w:rPr>
        <w:t>增加11.89万元，增长1.10%，主要原因是：本年在职人员增加，在职人员工资调增、社保、公积金基数调增，人员经费增加。</w:t>
      </w:r>
      <w:r>
        <w:rPr>
          <w:rFonts w:ascii="仿宋_GB2312" w:hAnsi="仿宋_GB2312" w:eastAsia="仿宋_GB2312"/>
          <w:b/>
          <w:sz w:val="32"/>
        </w:rPr>
        <w:t>与年初预算相比,</w:t>
      </w:r>
      <w:r>
        <w:rPr>
          <w:rFonts w:ascii="仿宋_GB2312" w:hAnsi="仿宋_GB2312" w:eastAsia="仿宋_GB2312"/>
          <w:b w:val="0"/>
          <w:sz w:val="32"/>
        </w:rPr>
        <w:t>年初预算数975.63万元，决算数1,090.04万元，预决算差异率11.73%，主要原因是：本年在职人员增加，年中追加人员经费及人员工资、社保、公积金基数调增部分资金，年中追加中央政法纪检监察转移政法资金项目经费，导致预决算存在差异。</w:t>
      </w:r>
    </w:p>
    <w:p w14:paraId="203EA437">
      <w:pPr>
        <w:spacing w:line="640" w:lineRule="exact"/>
        <w:ind w:firstLine="640"/>
        <w:jc w:val="both"/>
        <w:outlineLvl w:val="3"/>
      </w:pPr>
      <w:r>
        <w:rPr>
          <w:rFonts w:ascii="楷体_GB2312" w:hAnsi="楷体_GB2312" w:eastAsia="楷体_GB2312"/>
          <w:b/>
          <w:sz w:val="32"/>
        </w:rPr>
        <w:t>（二）一般公共预算财政拨款支出决算结构情况</w:t>
      </w:r>
    </w:p>
    <w:p w14:paraId="1F652168">
      <w:pPr>
        <w:spacing w:line="580" w:lineRule="exact"/>
        <w:ind w:firstLine="640"/>
        <w:jc w:val="both"/>
      </w:pPr>
      <w:r>
        <w:rPr>
          <w:rFonts w:ascii="仿宋_GB2312" w:hAnsi="仿宋_GB2312" w:eastAsia="仿宋_GB2312"/>
          <w:b w:val="0"/>
          <w:sz w:val="32"/>
        </w:rPr>
        <w:t>1.公共安全支出(类)871.27万元,占79.93%。</w:t>
      </w:r>
    </w:p>
    <w:p w14:paraId="29FFB513">
      <w:pPr>
        <w:spacing w:line="580" w:lineRule="exact"/>
        <w:ind w:firstLine="640"/>
        <w:jc w:val="both"/>
      </w:pPr>
      <w:r>
        <w:rPr>
          <w:rFonts w:ascii="仿宋_GB2312" w:hAnsi="仿宋_GB2312" w:eastAsia="仿宋_GB2312"/>
          <w:b w:val="0"/>
          <w:sz w:val="32"/>
        </w:rPr>
        <w:t>2.社会保障和就业支出(类)109.18万元,占10.02%。</w:t>
      </w:r>
    </w:p>
    <w:p w14:paraId="44CA0C0C">
      <w:pPr>
        <w:spacing w:line="580" w:lineRule="exact"/>
        <w:ind w:firstLine="640"/>
        <w:jc w:val="both"/>
      </w:pPr>
      <w:r>
        <w:rPr>
          <w:rFonts w:ascii="仿宋_GB2312" w:hAnsi="仿宋_GB2312" w:eastAsia="仿宋_GB2312"/>
          <w:b w:val="0"/>
          <w:sz w:val="32"/>
        </w:rPr>
        <w:t>3.卫生健康支出(类)33.97万元,占3.12%。</w:t>
      </w:r>
    </w:p>
    <w:p w14:paraId="5DDC62FC">
      <w:pPr>
        <w:spacing w:line="580" w:lineRule="exact"/>
        <w:ind w:firstLine="640"/>
        <w:jc w:val="both"/>
      </w:pPr>
      <w:r>
        <w:rPr>
          <w:rFonts w:ascii="仿宋_GB2312" w:hAnsi="仿宋_GB2312" w:eastAsia="仿宋_GB2312"/>
          <w:b w:val="0"/>
          <w:sz w:val="32"/>
        </w:rPr>
        <w:t>4.住房保障支出(类)50.82万元,占4.66%。</w:t>
      </w:r>
    </w:p>
    <w:p w14:paraId="585F165D">
      <w:pPr>
        <w:spacing w:line="580" w:lineRule="exact"/>
        <w:ind w:firstLine="640"/>
        <w:jc w:val="both"/>
      </w:pPr>
      <w:r>
        <w:rPr>
          <w:rFonts w:ascii="仿宋_GB2312" w:hAnsi="仿宋_GB2312" w:eastAsia="仿宋_GB2312"/>
          <w:b w:val="0"/>
          <w:sz w:val="32"/>
        </w:rPr>
        <w:t>5.其他支出(类)24.80万元,占2.28%。</w:t>
      </w:r>
    </w:p>
    <w:p w14:paraId="1EC1B37B">
      <w:pPr>
        <w:spacing w:line="640" w:lineRule="exact"/>
        <w:ind w:firstLine="640"/>
        <w:jc w:val="both"/>
        <w:outlineLvl w:val="3"/>
      </w:pPr>
      <w:r>
        <w:rPr>
          <w:rFonts w:ascii="楷体_GB2312" w:hAnsi="楷体_GB2312" w:eastAsia="楷体_GB2312"/>
          <w:b/>
          <w:sz w:val="32"/>
        </w:rPr>
        <w:t>（三）一般公共预算财政拨款支出决算具体情况</w:t>
      </w:r>
    </w:p>
    <w:p w14:paraId="4F0B31A0">
      <w:pPr>
        <w:spacing w:line="580" w:lineRule="exact"/>
        <w:ind w:firstLine="640"/>
        <w:jc w:val="both"/>
      </w:pPr>
      <w:r>
        <w:rPr>
          <w:rFonts w:ascii="仿宋_GB2312" w:hAnsi="仿宋_GB2312" w:eastAsia="仿宋_GB2312"/>
          <w:b w:val="0"/>
          <w:sz w:val="32"/>
        </w:rPr>
        <w:t>1.公共安全支出(类)公安(款)一般行政管理事务(项):支出决算数为0.19万元，比上年决算增加0.19万元，增长100.00%,主要原因是：本年增加中央政府纪检监察转移支付结转资金。</w:t>
      </w:r>
    </w:p>
    <w:p w14:paraId="26AD7EDF">
      <w:pPr>
        <w:spacing w:line="580" w:lineRule="exact"/>
        <w:ind w:firstLine="640"/>
        <w:jc w:val="both"/>
      </w:pPr>
      <w:r>
        <w:rPr>
          <w:rFonts w:ascii="仿宋_GB2312" w:hAnsi="仿宋_GB2312" w:eastAsia="仿宋_GB2312"/>
          <w:b w:val="0"/>
          <w:sz w:val="32"/>
        </w:rPr>
        <w:t>2.公共安全支出(类)检察(款)行政运行(项):支出决算数为697.08万元，比上年决算增加29.47万元，增长4.41%,主要原因是：本年新增在职人员，在职人员工资调增，导致相关人员经费较上年有所增加。</w:t>
      </w:r>
    </w:p>
    <w:p w14:paraId="73E97824">
      <w:pPr>
        <w:spacing w:line="580" w:lineRule="exact"/>
        <w:ind w:firstLine="640"/>
        <w:jc w:val="both"/>
      </w:pPr>
      <w:r>
        <w:rPr>
          <w:rFonts w:ascii="仿宋_GB2312" w:hAnsi="仿宋_GB2312" w:eastAsia="仿宋_GB2312"/>
          <w:b w:val="0"/>
          <w:sz w:val="32"/>
        </w:rPr>
        <w:t>3.公共安全支出(类)检察(款)一般行政管理事务(项):支出决算数为0.00万元，比上年决算减少106.81万元，下降100.00%,主要原因是：本年功能科目调整，中央政府纪检监察转移支付资金上年在一般行政管理事务科目列支，本年在其他检察支出科目列支，导致经费减少。</w:t>
      </w:r>
    </w:p>
    <w:p w14:paraId="570E1CD1">
      <w:pPr>
        <w:spacing w:line="580" w:lineRule="exact"/>
        <w:ind w:firstLine="640"/>
        <w:jc w:val="both"/>
      </w:pPr>
      <w:r>
        <w:rPr>
          <w:rFonts w:ascii="仿宋_GB2312" w:hAnsi="仿宋_GB2312" w:eastAsia="仿宋_GB2312"/>
          <w:b w:val="0"/>
          <w:sz w:val="32"/>
        </w:rPr>
        <w:t>4.公共安全支出(类)检察(款)其他检察支出(项):支出决算数为174.00万元，比上年决算增加72.00万元，增长70.59%,主要原因是：本年增加业务办案费支出；本年功能科目调整，中央政府纪检监察转移支付资金上年在一般行政管理事务科目列支，本年在其他检察支出科目列支，导致经费增加。</w:t>
      </w:r>
    </w:p>
    <w:p w14:paraId="6C939B96">
      <w:pPr>
        <w:spacing w:line="580" w:lineRule="exact"/>
        <w:ind w:firstLine="640"/>
        <w:jc w:val="both"/>
      </w:pPr>
      <w:r>
        <w:rPr>
          <w:rFonts w:ascii="仿宋_GB2312" w:hAnsi="仿宋_GB2312" w:eastAsia="仿宋_GB2312"/>
          <w:b w:val="0"/>
          <w:sz w:val="32"/>
        </w:rPr>
        <w:t>5.社会保障和就业支出(类)行政事业单位养老支出(款)行政单位离退休(项):支出决算数为14.18万元，比上年决算增加4.72万元，增长49.89%,主要原因是：本年退休人员增加，增加退休人员基础绩效奖，退休费支出增加。</w:t>
      </w:r>
    </w:p>
    <w:p w14:paraId="3DCFEA33">
      <w:pPr>
        <w:spacing w:line="580" w:lineRule="exact"/>
        <w:ind w:firstLine="640"/>
        <w:jc w:val="both"/>
      </w:pPr>
      <w:r>
        <w:rPr>
          <w:rFonts w:ascii="仿宋_GB2312" w:hAnsi="仿宋_GB2312" w:eastAsia="仿宋_GB2312"/>
          <w:b w:val="0"/>
          <w:sz w:val="32"/>
        </w:rPr>
        <w:t>6.社会保障和就业支出(类)行政事业单位养老支出(款)机关事业单位基本养老保险缴费支出(项):支出决算数为63.33万元，比上年决算减少21.91万元，下降25.70%,主要原因是：本年在职人员调入</w:t>
      </w:r>
      <w:r>
        <w:rPr>
          <w:rFonts w:hint="eastAsia" w:ascii="仿宋_GB2312" w:hAnsi="仿宋_GB2312" w:eastAsia="仿宋_GB2312"/>
          <w:b w:val="0"/>
          <w:sz w:val="32"/>
          <w:lang w:eastAsia="zh-CN"/>
        </w:rPr>
        <w:t>，</w:t>
      </w:r>
      <w:r>
        <w:rPr>
          <w:rFonts w:hint="eastAsia" w:ascii="仿宋_GB2312" w:hAnsi="仿宋_GB2312" w:eastAsia="仿宋_GB2312"/>
          <w:b w:val="0"/>
          <w:sz w:val="32"/>
          <w:lang w:val="en-US" w:eastAsia="zh-CN"/>
        </w:rPr>
        <w:t>退休</w:t>
      </w:r>
      <w:r>
        <w:rPr>
          <w:rFonts w:ascii="仿宋_GB2312" w:hAnsi="仿宋_GB2312" w:eastAsia="仿宋_GB2312"/>
          <w:b w:val="0"/>
          <w:sz w:val="32"/>
        </w:rPr>
        <w:t>，人员职级不同，缴费基数不同，导致养老保险缴费较上年减少。</w:t>
      </w:r>
    </w:p>
    <w:p w14:paraId="01EFD145">
      <w:pPr>
        <w:spacing w:line="580" w:lineRule="exact"/>
        <w:ind w:firstLine="640"/>
        <w:jc w:val="both"/>
      </w:pPr>
      <w:r>
        <w:rPr>
          <w:rFonts w:ascii="仿宋_GB2312" w:hAnsi="仿宋_GB2312" w:eastAsia="仿宋_GB2312"/>
          <w:b w:val="0"/>
          <w:sz w:val="32"/>
        </w:rPr>
        <w:t>7.社会保障和就业支出(类)行政事业单位养老支出(款)机关事业单位职业年金缴费支出(项):支出决算数为31.66万元，比上年决算增加30.97万元，增长4,488.41%,主要原因是：本年新增退休人员，职业年金缴费支出增加。</w:t>
      </w:r>
    </w:p>
    <w:p w14:paraId="37AA1742">
      <w:pPr>
        <w:spacing w:line="580" w:lineRule="exact"/>
        <w:ind w:firstLine="640"/>
        <w:jc w:val="both"/>
      </w:pPr>
      <w:r>
        <w:rPr>
          <w:rFonts w:ascii="仿宋_GB2312" w:hAnsi="仿宋_GB2312" w:eastAsia="仿宋_GB2312"/>
          <w:b w:val="0"/>
          <w:sz w:val="32"/>
        </w:rPr>
        <w:t>8.卫生健康支出(类)行政事业单位医疗(款)行政单位医疗(项):支出决算数为31.66万元，比上年决算增加3.02万元，增长10.54%,主要原因是：本年在职人员增加，行政单位医疗较上年增加。</w:t>
      </w:r>
    </w:p>
    <w:p w14:paraId="45A708B9">
      <w:pPr>
        <w:spacing w:line="580" w:lineRule="exact"/>
        <w:ind w:firstLine="640"/>
        <w:jc w:val="both"/>
      </w:pPr>
      <w:r>
        <w:rPr>
          <w:rFonts w:ascii="仿宋_GB2312" w:hAnsi="仿宋_GB2312" w:eastAsia="仿宋_GB2312"/>
          <w:b w:val="0"/>
          <w:sz w:val="32"/>
        </w:rPr>
        <w:t>9.卫生健康支出(类)行政事业单位医疗(款)公务员医疗补助(项):支出决算数为1.98万元，比上年决算增加0.19万元，增长10.61%,主要原因是：本年在职人员增加，公务员医疗补助较上年增加。</w:t>
      </w:r>
    </w:p>
    <w:p w14:paraId="1B335C8D">
      <w:pPr>
        <w:spacing w:line="580" w:lineRule="exact"/>
        <w:ind w:firstLine="640"/>
        <w:jc w:val="both"/>
      </w:pPr>
      <w:r>
        <w:rPr>
          <w:rFonts w:ascii="仿宋_GB2312" w:hAnsi="仿宋_GB2312" w:eastAsia="仿宋_GB2312"/>
          <w:b w:val="0"/>
          <w:sz w:val="32"/>
        </w:rPr>
        <w:t>10.卫生健康支出(类)行政事业单位医疗(款)其他行政事业单位医疗支出(项):支出决算数为0.32万元，比上年决算增加0.01万元，增长3.23%,主要原因是：本年在职人员增加，其他行政事业单位医疗支出较上年增加。</w:t>
      </w:r>
    </w:p>
    <w:p w14:paraId="35B5A487">
      <w:pPr>
        <w:spacing w:line="580" w:lineRule="exact"/>
        <w:ind w:firstLine="640"/>
        <w:jc w:val="both"/>
      </w:pPr>
      <w:r>
        <w:rPr>
          <w:rFonts w:ascii="仿宋_GB2312" w:hAnsi="仿宋_GB2312" w:eastAsia="仿宋_GB2312"/>
          <w:b w:val="0"/>
          <w:sz w:val="32"/>
        </w:rPr>
        <w:t>11.住房保障支出(类)住房改革支出(款)住房公积金(项):支出决算数为50.82万元，比上年决算增加0.05万元，增长0.10%,主要原因是：本年在职人员增加，住房公积金支出较上年增加。</w:t>
      </w:r>
    </w:p>
    <w:p w14:paraId="4438AEF8">
      <w:pPr>
        <w:spacing w:line="580" w:lineRule="exact"/>
        <w:ind w:firstLine="640"/>
        <w:jc w:val="both"/>
      </w:pPr>
      <w:r>
        <w:rPr>
          <w:rFonts w:ascii="仿宋_GB2312" w:hAnsi="仿宋_GB2312" w:eastAsia="仿宋_GB2312"/>
          <w:b w:val="0"/>
          <w:sz w:val="32"/>
        </w:rPr>
        <w:t>12.其他支出(类)其他支出(款)其他支出(项):支出决算数为24.80万元，比上年决算减少0.03万元，下降0.12%,主要原因是：本年驻村工作自治区补助经费（为民办实事经费）较上年减少。</w:t>
      </w:r>
    </w:p>
    <w:p w14:paraId="2C0158C6">
      <w:pPr>
        <w:spacing w:line="640" w:lineRule="exact"/>
        <w:ind w:firstLine="640"/>
        <w:jc w:val="both"/>
        <w:outlineLvl w:val="2"/>
      </w:pPr>
      <w:r>
        <w:rPr>
          <w:rFonts w:ascii="黑体" w:hAnsi="黑体" w:eastAsia="黑体"/>
          <w:sz w:val="32"/>
        </w:rPr>
        <w:t>六、一般公共预算财政拨款基本支出决算情况说明</w:t>
      </w:r>
    </w:p>
    <w:p w14:paraId="26A799ED">
      <w:pPr>
        <w:spacing w:line="580" w:lineRule="exact"/>
        <w:ind w:firstLine="640"/>
        <w:jc w:val="both"/>
      </w:pPr>
      <w:r>
        <w:rPr>
          <w:rFonts w:ascii="仿宋_GB2312" w:hAnsi="仿宋_GB2312" w:eastAsia="仿宋_GB2312"/>
          <w:b w:val="0"/>
          <w:sz w:val="32"/>
        </w:rPr>
        <w:t>2024年度一般公共预算财政拨款基本支出894.68万元，其中：</w:t>
      </w:r>
      <w:r>
        <w:rPr>
          <w:rFonts w:ascii="仿宋_GB2312" w:hAnsi="仿宋_GB2312" w:eastAsia="仿宋_GB2312"/>
          <w:b/>
          <w:sz w:val="32"/>
        </w:rPr>
        <w:t>人员经费797.81万元，</w:t>
      </w:r>
      <w:r>
        <w:rPr>
          <w:rFonts w:ascii="仿宋_GB2312" w:hAnsi="仿宋_GB2312" w:eastAsia="仿宋_GB2312"/>
          <w:b w:val="0"/>
          <w:sz w:val="32"/>
        </w:rPr>
        <w:t>包括：基本工资、津贴补贴、奖金、机关事业单位基本养老保险缴费、职业年金缴费、职工基本医疗保险缴费、公务员医疗补助缴费、其他社会保障缴费、住房公积金、其他工资福利支出、退休费、生活补助、奖励金。</w:t>
      </w:r>
    </w:p>
    <w:p w14:paraId="5405D08E">
      <w:pPr>
        <w:spacing w:line="580" w:lineRule="exact"/>
        <w:ind w:firstLine="640"/>
        <w:jc w:val="both"/>
      </w:pPr>
      <w:r>
        <w:rPr>
          <w:rFonts w:ascii="仿宋_GB2312" w:hAnsi="仿宋_GB2312" w:eastAsia="仿宋_GB2312"/>
          <w:b/>
          <w:sz w:val="32"/>
        </w:rPr>
        <w:t>公用经费96.87万元，</w:t>
      </w:r>
      <w:r>
        <w:rPr>
          <w:rFonts w:ascii="仿宋_GB2312" w:hAnsi="仿宋_GB2312" w:eastAsia="仿宋_GB2312"/>
          <w:b w:val="0"/>
          <w:sz w:val="32"/>
        </w:rPr>
        <w:t>包括：办公费、印刷费、咨询费、水费、电费、邮电费、取暖费、物业管理费、维修（护）费、租赁费、公务接待费、劳务费、工会经费、福利费、公务用车运行维护费、其他商品和服务支出。</w:t>
      </w:r>
    </w:p>
    <w:p w14:paraId="5FFA5DD8">
      <w:pPr>
        <w:spacing w:line="640" w:lineRule="exact"/>
        <w:ind w:firstLine="640"/>
        <w:jc w:val="both"/>
        <w:outlineLvl w:val="2"/>
      </w:pPr>
      <w:r>
        <w:rPr>
          <w:rFonts w:ascii="黑体" w:hAnsi="黑体" w:eastAsia="黑体"/>
          <w:sz w:val="32"/>
        </w:rPr>
        <w:t>七、政府性基金预算财政拨款收入支出决算情况说明</w:t>
      </w:r>
    </w:p>
    <w:p w14:paraId="364E6940">
      <w:pPr>
        <w:spacing w:line="580" w:lineRule="exact"/>
        <w:ind w:firstLine="640"/>
        <w:jc w:val="both"/>
      </w:pPr>
      <w:r>
        <w:rPr>
          <w:rFonts w:ascii="仿宋_GB2312" w:hAnsi="仿宋_GB2312" w:eastAsia="仿宋_GB2312"/>
          <w:b w:val="0"/>
          <w:sz w:val="32"/>
        </w:rPr>
        <w:t>本单位本年度无政府性基金预算财政拨款收入、支出及结转和结余，政府性基金预算财政拨款收入支出决算表为空表。</w:t>
      </w:r>
    </w:p>
    <w:p w14:paraId="6CD707C9">
      <w:pPr>
        <w:spacing w:line="640" w:lineRule="exact"/>
        <w:ind w:firstLine="640"/>
        <w:jc w:val="both"/>
        <w:outlineLvl w:val="2"/>
      </w:pPr>
      <w:r>
        <w:rPr>
          <w:rFonts w:ascii="黑体" w:hAnsi="黑体" w:eastAsia="黑体"/>
          <w:sz w:val="32"/>
        </w:rPr>
        <w:t>八、国有资本经营预算财政拨款收入支出决算情况说明</w:t>
      </w:r>
    </w:p>
    <w:p w14:paraId="632DF4A2">
      <w:pPr>
        <w:spacing w:line="580" w:lineRule="exact"/>
        <w:ind w:firstLine="640"/>
        <w:jc w:val="both"/>
      </w:pPr>
      <w:r>
        <w:rPr>
          <w:rFonts w:ascii="仿宋_GB2312" w:hAnsi="仿宋_GB2312" w:eastAsia="仿宋_GB2312"/>
          <w:b w:val="0"/>
          <w:sz w:val="32"/>
        </w:rPr>
        <w:t>本单位本年度无国有资本经营预算财政拨款收入、支出及结转和结余，国有资本经营预算财政拨款收入支出决算表为空表。</w:t>
      </w:r>
    </w:p>
    <w:p w14:paraId="1BE26E1E">
      <w:pPr>
        <w:spacing w:line="640" w:lineRule="exact"/>
        <w:ind w:firstLine="640"/>
        <w:jc w:val="both"/>
        <w:outlineLvl w:val="2"/>
      </w:pPr>
      <w:r>
        <w:rPr>
          <w:rFonts w:ascii="黑体" w:hAnsi="黑体" w:eastAsia="黑体"/>
          <w:sz w:val="32"/>
        </w:rPr>
        <w:t>九、财政拨款“三公”经费支出决算情况说明</w:t>
      </w:r>
    </w:p>
    <w:p w14:paraId="4B78A4AE">
      <w:pPr>
        <w:spacing w:line="580" w:lineRule="exact"/>
        <w:ind w:firstLine="640"/>
        <w:jc w:val="both"/>
      </w:pPr>
      <w:r>
        <w:rPr>
          <w:rFonts w:ascii="仿宋_GB2312" w:hAnsi="仿宋_GB2312" w:eastAsia="仿宋_GB2312"/>
          <w:b/>
          <w:sz w:val="32"/>
        </w:rPr>
        <w:t>2024年度财政拨款“三公”经费支出16.20万元，</w:t>
      </w:r>
      <w:r>
        <w:rPr>
          <w:rFonts w:ascii="仿宋_GB2312" w:hAnsi="仿宋_GB2312" w:eastAsia="仿宋_GB2312"/>
          <w:b w:val="0"/>
          <w:sz w:val="32"/>
        </w:rPr>
        <w:t>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三公”经费与上年一致无变化。其中：因公出国（境）费支出0.00万元，占0.00%，比上年增加0.00万元，增长0.00%，主要原因是：2023年与2024年均未安排因公出国（境）费支出。公务用车购置及运行维护费支出15.20万元，占93.83%，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公务用车运行维护费与上年一致无变化。公务接待费支出1.00万元，占6.17%，比上年增加0.00万元，增长0.00%，主要原因是：</w:t>
      </w:r>
      <w:r>
        <w:rPr>
          <w:rFonts w:hint="eastAsia" w:ascii="仿宋_GB2312" w:hAnsi="仿宋_GB2312" w:eastAsia="仿宋_GB2312"/>
          <w:b w:val="0"/>
          <w:sz w:val="32"/>
          <w:lang w:eastAsia="zh-CN"/>
        </w:rPr>
        <w:t>本单位</w:t>
      </w:r>
      <w:r>
        <w:rPr>
          <w:rFonts w:ascii="仿宋_GB2312" w:hAnsi="仿宋_GB2312" w:eastAsia="仿宋_GB2312"/>
          <w:b w:val="0"/>
          <w:sz w:val="32"/>
        </w:rPr>
        <w:t>公务接待费与上年一致无变化。</w:t>
      </w:r>
    </w:p>
    <w:p w14:paraId="0414BEE6">
      <w:pPr>
        <w:spacing w:line="580" w:lineRule="exact"/>
        <w:ind w:firstLine="640"/>
        <w:jc w:val="both"/>
      </w:pPr>
      <w:r>
        <w:rPr>
          <w:rFonts w:ascii="仿宋_GB2312" w:hAnsi="仿宋_GB2312" w:eastAsia="仿宋_GB2312"/>
          <w:b/>
          <w:sz w:val="32"/>
        </w:rPr>
        <w:t>具体情况如下：</w:t>
      </w:r>
    </w:p>
    <w:p w14:paraId="5D09EBC4">
      <w:pPr>
        <w:spacing w:line="580" w:lineRule="exact"/>
        <w:ind w:firstLine="640"/>
        <w:jc w:val="both"/>
      </w:pPr>
      <w:r>
        <w:rPr>
          <w:rFonts w:ascii="仿宋_GB2312" w:hAnsi="仿宋_GB2312" w:eastAsia="仿宋_GB2312"/>
          <w:b w:val="0"/>
          <w:sz w:val="32"/>
        </w:rPr>
        <w:t>因公出国（境）费支出0.00万元，开支内容包括本单位无因公出国（境）费。单位全年安排的因公出国（境）团组0个，因公出国（境）0人次。</w:t>
      </w:r>
    </w:p>
    <w:p w14:paraId="612C884C">
      <w:pPr>
        <w:spacing w:line="580" w:lineRule="exact"/>
        <w:ind w:firstLine="640"/>
        <w:jc w:val="both"/>
      </w:pPr>
      <w:r>
        <w:rPr>
          <w:rFonts w:ascii="仿宋_GB2312" w:hAnsi="仿宋_GB2312" w:eastAsia="仿宋_GB2312"/>
          <w:b w:val="0"/>
          <w:sz w:val="32"/>
        </w:rPr>
        <w:t>公务用车购置及运行维护费15.20万元，其中：公务用车购置费0.00万元，公务用车运行维护费15.20万元。公务用车运行维护费开支内容包括车辆加油费、维修费、保险费、审车费、过路费等。公务用车购置数0辆，公务用车保有量9辆。国有资产占用情况中固定资产车辆9辆，与公务用车保有量差异原因是：本单位固定资产车辆与公务用车保有量一致无差异。</w:t>
      </w:r>
    </w:p>
    <w:p w14:paraId="0F36E0B4">
      <w:pPr>
        <w:spacing w:line="580" w:lineRule="exact"/>
        <w:ind w:firstLine="640"/>
        <w:jc w:val="both"/>
      </w:pPr>
      <w:r>
        <w:rPr>
          <w:rFonts w:ascii="仿宋_GB2312" w:hAnsi="仿宋_GB2312" w:eastAsia="仿宋_GB2312"/>
          <w:b w:val="0"/>
          <w:sz w:val="32"/>
        </w:rPr>
        <w:t>公务接待费1.00万元，开支内容包括因工作原因，接待上级领导检查产生的就餐费。单位全年安排的国内公务接待14批次，86人次。</w:t>
      </w:r>
    </w:p>
    <w:p w14:paraId="3F2845E1">
      <w:pPr>
        <w:spacing w:line="580" w:lineRule="exact"/>
        <w:ind w:firstLine="640"/>
        <w:jc w:val="both"/>
      </w:pPr>
      <w:r>
        <w:rPr>
          <w:rFonts w:ascii="仿宋_GB2312" w:hAnsi="仿宋_GB2312" w:eastAsia="仿宋_GB2312"/>
          <w:b/>
          <w:sz w:val="32"/>
        </w:rPr>
        <w:t>与全年预算相比，</w:t>
      </w:r>
      <w:r>
        <w:rPr>
          <w:rFonts w:ascii="仿宋_GB2312" w:hAnsi="仿宋_GB2312" w:eastAsia="仿宋_GB2312"/>
          <w:b w:val="0"/>
          <w:sz w:val="32"/>
        </w:rPr>
        <w:t>财政拨款“三公”经费支出全年预算数16.20万元，决算数16.20万元，预决算差异率0.00%，主要原因是：严格按照预算执行，预决算无差异。其中：因公出国（境）费全年预算数0.00万元，决算数0.00万元，预决算差异率0.00%，主要原因是：本单位无因公出国（境）费。公务用车购置费全年预算数0.00万元，决算数0.00万元，预决算差异率0.00%，主要原因是：本单位无公务用车购置费。公务用车运行维护费全年预算数15.20万元，决算数15.20万元，预决算差异率0.00%，主要原因是：严格按照预算执行，预决算无差异。公务接待费全年预算数1.00万元，决算数1.00万元，预决算差异率0.00%，主要原因是：严格按照预算执行，预决算无差异。</w:t>
      </w:r>
    </w:p>
    <w:p w14:paraId="1DC82FCC">
      <w:pPr>
        <w:spacing w:line="640" w:lineRule="exact"/>
        <w:ind w:firstLine="640"/>
        <w:jc w:val="both"/>
        <w:outlineLvl w:val="2"/>
      </w:pPr>
      <w:r>
        <w:rPr>
          <w:rFonts w:ascii="黑体" w:hAnsi="黑体" w:eastAsia="黑体"/>
          <w:sz w:val="32"/>
        </w:rPr>
        <w:t>十、其他重要事项的情况说明</w:t>
      </w:r>
    </w:p>
    <w:p w14:paraId="4998C1EB">
      <w:pPr>
        <w:spacing w:line="640" w:lineRule="exact"/>
        <w:ind w:firstLine="640"/>
        <w:jc w:val="both"/>
        <w:outlineLvl w:val="3"/>
      </w:pPr>
      <w:r>
        <w:rPr>
          <w:rFonts w:ascii="楷体_GB2312" w:hAnsi="楷体_GB2312" w:eastAsia="楷体_GB2312"/>
          <w:b/>
          <w:sz w:val="32"/>
        </w:rPr>
        <w:t>（一）机关运行经费及公用经费支出情况</w:t>
      </w:r>
    </w:p>
    <w:p w14:paraId="3E643166">
      <w:pPr>
        <w:spacing w:line="580" w:lineRule="exact"/>
        <w:ind w:firstLine="640"/>
        <w:jc w:val="both"/>
      </w:pPr>
      <w:r>
        <w:rPr>
          <w:rFonts w:ascii="仿宋_GB2312" w:hAnsi="仿宋_GB2312" w:eastAsia="仿宋_GB2312"/>
          <w:b w:val="0"/>
          <w:sz w:val="32"/>
        </w:rPr>
        <w:t>2024年度阜康市人民检察院（行政单位和参照公务员法管理事业单位）机关运行经费支出96.87万元，比上年增加5.93万元，增长6.52%，主要原因是：本年更新、维护补充办公用品，导致机关运行经费较上年增加。</w:t>
      </w:r>
    </w:p>
    <w:p w14:paraId="76F50857">
      <w:pPr>
        <w:spacing w:line="640" w:lineRule="exact"/>
        <w:ind w:firstLine="640"/>
        <w:jc w:val="both"/>
        <w:outlineLvl w:val="3"/>
      </w:pPr>
      <w:r>
        <w:rPr>
          <w:rFonts w:ascii="楷体_GB2312" w:hAnsi="楷体_GB2312" w:eastAsia="楷体_GB2312"/>
          <w:b/>
          <w:sz w:val="32"/>
        </w:rPr>
        <w:t>（二）政府采购情况</w:t>
      </w:r>
    </w:p>
    <w:p w14:paraId="7E6A0FB5">
      <w:pPr>
        <w:spacing w:line="580" w:lineRule="exact"/>
        <w:ind w:firstLine="640"/>
        <w:jc w:val="both"/>
      </w:pPr>
      <w:r>
        <w:rPr>
          <w:rFonts w:ascii="仿宋_GB2312" w:hAnsi="仿宋_GB2312" w:eastAsia="仿宋_GB2312"/>
          <w:b w:val="0"/>
          <w:sz w:val="32"/>
        </w:rPr>
        <w:t>2024年度政府采购支出总额120.48万元，其中：政府采购货物支出42.75万元、政府采购工程支出25.56万元、政府采购服务支出52.17万元。</w:t>
      </w:r>
    </w:p>
    <w:p w14:paraId="3DCCB9F7">
      <w:pPr>
        <w:spacing w:line="580" w:lineRule="exact"/>
        <w:ind w:firstLine="640"/>
        <w:jc w:val="both"/>
      </w:pPr>
      <w:r>
        <w:rPr>
          <w:rFonts w:ascii="仿宋_GB2312" w:hAnsi="仿宋_GB2312" w:eastAsia="仿宋_GB2312"/>
          <w:b w:val="0"/>
          <w:sz w:val="32"/>
        </w:rPr>
        <w:t>授予中小企业合同金额120.48万元，占政府采购支出总额的100.00%，其中：授予小微企业合同金额120.48万元，占政府采购支出总额的100.00%。</w:t>
      </w:r>
    </w:p>
    <w:p w14:paraId="18E2DCFA">
      <w:pPr>
        <w:spacing w:line="640" w:lineRule="exact"/>
        <w:ind w:firstLine="640"/>
        <w:jc w:val="both"/>
        <w:outlineLvl w:val="3"/>
      </w:pPr>
      <w:r>
        <w:rPr>
          <w:rFonts w:ascii="楷体_GB2312" w:hAnsi="楷体_GB2312" w:eastAsia="楷体_GB2312"/>
          <w:b/>
          <w:sz w:val="32"/>
        </w:rPr>
        <w:t>（三）国有资产占用情况说明</w:t>
      </w:r>
    </w:p>
    <w:p w14:paraId="5976F506">
      <w:pPr>
        <w:spacing w:line="580" w:lineRule="exact"/>
        <w:ind w:firstLine="640"/>
        <w:jc w:val="both"/>
      </w:pPr>
      <w:r>
        <w:rPr>
          <w:rFonts w:ascii="仿宋_GB2312" w:hAnsi="仿宋_GB2312" w:eastAsia="仿宋_GB2312"/>
          <w:b w:val="0"/>
          <w:sz w:val="32"/>
        </w:rPr>
        <w:t>截至2024年12月31日，房屋7,348.74平方米，价值2,761.19万元。车辆9辆，价值205.22万元，其中：副部（省）级及以上领导用车0辆、主要负责人用车0辆、机要通信用车0辆、应急保障用车0辆、执法执勤用车7辆、特种专业技术用车0辆、离退休干部服务用车0辆、其他用车2辆，其他用车主要是：一般公务用车。单价100万元（含）以上设备（不含车辆）0台（套）。</w:t>
      </w:r>
    </w:p>
    <w:p w14:paraId="0742FDDD">
      <w:pPr>
        <w:spacing w:line="640" w:lineRule="exact"/>
        <w:ind w:firstLine="640"/>
        <w:jc w:val="both"/>
        <w:outlineLvl w:val="2"/>
      </w:pPr>
      <w:r>
        <w:rPr>
          <w:rFonts w:ascii="黑体" w:hAnsi="黑体" w:eastAsia="黑体"/>
          <w:sz w:val="32"/>
        </w:rPr>
        <w:t>十一、预算绩效的情况说明</w:t>
      </w:r>
    </w:p>
    <w:p w14:paraId="64B3371A">
      <w:pPr>
        <w:spacing w:line="580" w:lineRule="exact"/>
        <w:ind w:firstLine="640"/>
        <w:jc w:val="both"/>
      </w:pPr>
      <w:r>
        <w:rPr>
          <w:rFonts w:ascii="仿宋_GB2312" w:hAnsi="仿宋_GB2312" w:eastAsia="仿宋_GB2312"/>
          <w:b w:val="0"/>
          <w:sz w:val="32"/>
        </w:rPr>
        <w:t>根据预算绩效管理要求，本单位2024年度预算绩效管理形成整体支出绩效自评表1个，全年预算总额1,150.04万元，实际执行总额1,150.04万元；预算绩效评价项目</w:t>
      </w:r>
      <w:r>
        <w:rPr>
          <w:rFonts w:hint="eastAsia" w:ascii="仿宋_GB2312" w:hAnsi="仿宋_GB2312" w:eastAsia="仿宋_GB2312"/>
          <w:b w:val="0"/>
          <w:sz w:val="32"/>
          <w:lang w:val="en-US" w:eastAsia="zh-CN"/>
        </w:rPr>
        <w:t>3</w:t>
      </w:r>
      <w:r>
        <w:rPr>
          <w:rFonts w:ascii="仿宋_GB2312" w:hAnsi="仿宋_GB2312" w:eastAsia="仿宋_GB2312"/>
          <w:b w:val="0"/>
          <w:sz w:val="32"/>
        </w:rPr>
        <w:t>个，全年预算数</w:t>
      </w:r>
      <w:r>
        <w:rPr>
          <w:rFonts w:hint="eastAsia" w:ascii="仿宋_GB2312" w:hAnsi="仿宋_GB2312" w:eastAsia="仿宋_GB2312"/>
          <w:b w:val="0"/>
          <w:sz w:val="32"/>
        </w:rPr>
        <w:t>243</w:t>
      </w:r>
      <w:r>
        <w:rPr>
          <w:rFonts w:ascii="仿宋_GB2312" w:hAnsi="仿宋_GB2312" w:eastAsia="仿宋_GB2312"/>
          <w:b w:val="0"/>
          <w:sz w:val="32"/>
        </w:rPr>
        <w:t>.00万元，全年执行数</w:t>
      </w:r>
      <w:r>
        <w:rPr>
          <w:rFonts w:hint="eastAsia" w:ascii="仿宋_GB2312" w:hAnsi="仿宋_GB2312" w:eastAsia="仿宋_GB2312"/>
          <w:b w:val="0"/>
          <w:sz w:val="32"/>
        </w:rPr>
        <w:t>243</w:t>
      </w:r>
      <w:r>
        <w:rPr>
          <w:rFonts w:ascii="仿宋_GB2312" w:hAnsi="仿宋_GB2312" w:eastAsia="仿宋_GB2312"/>
          <w:b w:val="0"/>
          <w:sz w:val="32"/>
        </w:rPr>
        <w:t>.00万元。预算绩效管理取得的成效：1.聚焦重点任务，推动项目工作落地落实。为有效推进项目工作开展，提高财政资金使用效益，项目领导小组进一步强化项目意识，对照计划全面梳理重点任务，仔细谋划、紧抓落实，理顺内部分工和工作流程，明确责任和时间节点，一项一项抓好具体落实，确保了项目按时保质完成，保障了项目效益发挥。2.坚持问题导向，加强执行监控，提高资金效益。紧抓预算执行动态监控，提高资金使用效益。坚持以问题为导向，以财政部门的绩效监控为契机，通过资料审核对资金执行进度及绩效目标实现程度开展审核，对绩效监控中发现的问题及时整改，强化资金使用过程管理，</w:t>
      </w:r>
      <w:r>
        <w:rPr>
          <w:rFonts w:hint="eastAsia" w:ascii="仿宋_GB2312" w:hAnsi="仿宋_GB2312" w:eastAsia="仿宋_GB2312"/>
          <w:b w:val="0"/>
          <w:sz w:val="32"/>
          <w:lang w:eastAsia="zh-CN"/>
        </w:rPr>
        <w:t>有效</w:t>
      </w:r>
      <w:r>
        <w:rPr>
          <w:rFonts w:ascii="仿宋_GB2312" w:hAnsi="仿宋_GB2312" w:eastAsia="仿宋_GB2312"/>
          <w:b w:val="0"/>
          <w:sz w:val="32"/>
        </w:rPr>
        <w:t>降低资金偏离政策目标的风险，提高了资金使用效益。3.强化绩效目标刚性约束，及时对项目进行跟踪问效。加强绩效目标的刚性约束，及时对项目实施进度与资金支付进度进行全程跟踪问效，发现问题及时解决，</w:t>
      </w:r>
      <w:r>
        <w:rPr>
          <w:rFonts w:hint="eastAsia" w:ascii="仿宋_GB2312" w:hAnsi="仿宋_GB2312" w:eastAsia="仿宋_GB2312"/>
          <w:b w:val="0"/>
          <w:sz w:val="32"/>
          <w:lang w:eastAsia="zh-CN"/>
        </w:rPr>
        <w:t>对</w:t>
      </w:r>
      <w:r>
        <w:rPr>
          <w:rFonts w:ascii="仿宋_GB2312" w:hAnsi="仿宋_GB2312" w:eastAsia="仿宋_GB2312"/>
          <w:b w:val="0"/>
          <w:sz w:val="32"/>
        </w:rPr>
        <w:t>重大问题实行集体讨论，确保项目按计划进行，项目资金支付安排高效、合理，杜绝截留、挤占或挪用项目资金的情况发生。发现的问题及原因：1.绩效档案归档工作有待提高。一是对档案工作重视程度不高，意识淡薄。单位人员对绩效档案管理工作重视程度不够，不注重关键时间节点材料的鉴定归档，造成绩效管理工作档案缺失。二是单位人员对档案管理工作缺少针对性和目的性，对绩效档案工作重要性的认识不足，缺乏熟练的业务知识，使绩效档案管理与实际业务存在一定偏差，</w:t>
      </w:r>
      <w:r>
        <w:rPr>
          <w:rFonts w:hint="eastAsia" w:ascii="仿宋_GB2312" w:hAnsi="仿宋_GB2312" w:eastAsia="仿宋_GB2312"/>
          <w:b w:val="0"/>
          <w:sz w:val="32"/>
          <w:lang w:eastAsia="zh-CN"/>
        </w:rPr>
        <w:t>未能</w:t>
      </w:r>
      <w:r>
        <w:rPr>
          <w:rFonts w:ascii="仿宋_GB2312" w:hAnsi="仿宋_GB2312" w:eastAsia="仿宋_GB2312"/>
          <w:b w:val="0"/>
          <w:sz w:val="32"/>
        </w:rPr>
        <w:t>发挥其综合价值。2.项目支出绩效评价存在局限，客观性有待加强。项目支出绩效评价工作还存在自我审定的局限性，项目支出绩效工作有较大弹性，评价报告多局限于描述项目实施情况，对问题避重就轻，对项目的打分松紧不一，会影响评价质量，在客观性和公正性上说服力不强。下一步改进措施：1.扎实推进档案规范化建设，提升档案管理水平。一是进一步完善项目评价资料。项目启动时同步做好档案的归纳与整理，及时整理、收集、汇总，健全档案资料。二是严格落实自治区关于绩效管理工作档案资料归档的相关要求，强化收集力度，确保归档</w:t>
      </w:r>
      <w:r>
        <w:rPr>
          <w:rFonts w:hint="eastAsia" w:ascii="仿宋_GB2312" w:hAnsi="仿宋_GB2312" w:eastAsia="仿宋_GB2312"/>
          <w:b w:val="0"/>
          <w:sz w:val="32"/>
          <w:lang w:eastAsia="zh-CN"/>
        </w:rPr>
        <w:t>资料</w:t>
      </w:r>
      <w:r>
        <w:rPr>
          <w:rFonts w:ascii="仿宋_GB2312" w:hAnsi="仿宋_GB2312" w:eastAsia="仿宋_GB2312"/>
          <w:b w:val="0"/>
          <w:sz w:val="32"/>
        </w:rPr>
        <w:t>完整齐全。2.高度重视，加强领导。高度重视，加强领导，精心组织。项目绩效领导小组对绩效评价工作进行指导、监督、检查，确保项目绩效评价反映项目完成真实情况。严格执行项目绩效评价工作要求，切实提高项目绩效报告的客观性和公正性。具体附整体支出绩效自评表，项目支出绩效自评表和评价报告。</w:t>
      </w:r>
    </w:p>
    <w:p w14:paraId="5519F78F">
      <w:r>
        <w:br w:type="page"/>
      </w:r>
    </w:p>
    <w:tbl>
      <w:tblPr>
        <w:tblStyle w:val="9"/>
        <w:tblW w:w="0" w:type="auto"/>
        <w:tblInd w:w="0" w:type="dxa"/>
        <w:tblLayout w:type="autofit"/>
        <w:tblCellMar>
          <w:top w:w="0" w:type="dxa"/>
          <w:left w:w="108" w:type="dxa"/>
          <w:bottom w:w="0" w:type="dxa"/>
          <w:right w:w="108" w:type="dxa"/>
        </w:tblCellMar>
      </w:tblPr>
      <w:tblGrid>
        <w:gridCol w:w="983"/>
        <w:gridCol w:w="983"/>
        <w:gridCol w:w="983"/>
        <w:gridCol w:w="983"/>
        <w:gridCol w:w="983"/>
        <w:gridCol w:w="983"/>
        <w:gridCol w:w="983"/>
        <w:gridCol w:w="983"/>
        <w:gridCol w:w="983"/>
      </w:tblGrid>
      <w:tr w14:paraId="5A3D7602">
        <w:tblPrEx>
          <w:tblCellMar>
            <w:top w:w="0" w:type="dxa"/>
            <w:left w:w="108" w:type="dxa"/>
            <w:bottom w:w="0" w:type="dxa"/>
            <w:right w:w="108" w:type="dxa"/>
          </w:tblCellMar>
        </w:tblPrEx>
        <w:tc>
          <w:tcPr>
            <w:tcW w:w="8847" w:type="dxa"/>
            <w:gridSpan w:val="9"/>
            <w:vAlign w:val="center"/>
          </w:tcPr>
          <w:p w14:paraId="1FAA8451">
            <w:pPr>
              <w:jc w:val="center"/>
            </w:pPr>
            <w:r>
              <w:rPr>
                <w:rFonts w:ascii="宋体" w:hAnsi="宋体" w:eastAsia="宋体"/>
                <w:sz w:val="24"/>
              </w:rPr>
              <w:t>单位整体支出绩效自评表</w:t>
            </w:r>
          </w:p>
        </w:tc>
      </w:tr>
      <w:tr w14:paraId="3CB75B96">
        <w:tblPrEx>
          <w:tblCellMar>
            <w:top w:w="0" w:type="dxa"/>
            <w:left w:w="108" w:type="dxa"/>
            <w:bottom w:w="0" w:type="dxa"/>
            <w:right w:w="108" w:type="dxa"/>
          </w:tblCellMar>
        </w:tblPrEx>
        <w:tc>
          <w:tcPr>
            <w:tcW w:w="8847" w:type="dxa"/>
            <w:gridSpan w:val="9"/>
            <w:vAlign w:val="center"/>
          </w:tcPr>
          <w:p w14:paraId="2A61EE48">
            <w:pPr>
              <w:jc w:val="center"/>
            </w:pPr>
            <w:r>
              <w:rPr>
                <w:rFonts w:ascii="宋体" w:hAnsi="宋体" w:eastAsia="宋体"/>
                <w:sz w:val="24"/>
              </w:rPr>
              <w:t>（2024年度）</w:t>
            </w:r>
          </w:p>
        </w:tc>
      </w:tr>
      <w:tr w14:paraId="2EA2839A">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E64D04F">
            <w:pPr>
              <w:jc w:val="center"/>
            </w:pPr>
            <w:r>
              <w:rPr>
                <w:rFonts w:ascii="宋体" w:hAnsi="宋体" w:eastAsia="宋体"/>
                <w:sz w:val="16"/>
              </w:rPr>
              <w:t>单位名称</w:t>
            </w:r>
          </w:p>
        </w:tc>
        <w:tc>
          <w:tcPr>
            <w:tcW w:w="7864" w:type="dxa"/>
            <w:gridSpan w:val="8"/>
            <w:tcBorders>
              <w:top w:val="single" w:color="auto" w:sz="10" w:space="0"/>
              <w:left w:val="single" w:color="auto" w:sz="10" w:space="0"/>
              <w:bottom w:val="single" w:color="auto" w:sz="10" w:space="0"/>
              <w:right w:val="single" w:color="auto" w:sz="10" w:space="0"/>
              <w:insideV w:val="single" w:sz="10" w:space="0"/>
            </w:tcBorders>
            <w:vAlign w:val="center"/>
          </w:tcPr>
          <w:p w14:paraId="33E52512">
            <w:pPr>
              <w:jc w:val="center"/>
            </w:pPr>
            <w:r>
              <w:rPr>
                <w:rFonts w:ascii="宋体" w:hAnsi="宋体" w:eastAsia="宋体"/>
                <w:sz w:val="16"/>
              </w:rPr>
              <w:t>阜康市人民检察院</w:t>
            </w:r>
          </w:p>
        </w:tc>
      </w:tr>
      <w:tr w14:paraId="406C8771">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1801427">
            <w:pPr>
              <w:jc w:val="center"/>
            </w:pPr>
            <w:r>
              <w:rPr>
                <w:rFonts w:ascii="宋体" w:hAnsi="宋体" w:eastAsia="宋体"/>
                <w:sz w:val="16"/>
              </w:rPr>
              <w:t>部门资金（万元）</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DAC2F8">
            <w:pPr>
              <w:jc w:val="center"/>
            </w:pPr>
            <w:r>
              <w:rPr>
                <w:rFonts w:ascii="宋体" w:hAnsi="宋体" w:eastAsia="宋体"/>
                <w:sz w:val="16"/>
              </w:rPr>
              <w:t>资金来源</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A2D0E26">
            <w:pPr>
              <w:jc w:val="center"/>
            </w:pPr>
            <w:r>
              <w:rPr>
                <w:rFonts w:ascii="宋体" w:hAnsi="宋体" w:eastAsia="宋体"/>
                <w:sz w:val="16"/>
              </w:rPr>
              <w:t>年初预算数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F86DF8">
            <w:pPr>
              <w:jc w:val="center"/>
            </w:pPr>
            <w:r>
              <w:rPr>
                <w:rFonts w:ascii="宋体" w:hAnsi="宋体" w:eastAsia="宋体"/>
                <w:sz w:val="16"/>
              </w:rPr>
              <w:t>全年预算数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56CC80D">
            <w:pPr>
              <w:jc w:val="center"/>
            </w:pPr>
            <w:r>
              <w:rPr>
                <w:rFonts w:ascii="宋体" w:hAnsi="宋体" w:eastAsia="宋体"/>
                <w:sz w:val="16"/>
              </w:rPr>
              <w:t>全年执行数</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6D029D">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C23F94B">
            <w:pPr>
              <w:jc w:val="center"/>
            </w:pPr>
            <w:r>
              <w:rPr>
                <w:rFonts w:ascii="宋体" w:hAnsi="宋体" w:eastAsia="宋体"/>
                <w:sz w:val="16"/>
              </w:rPr>
              <w:t>执行率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B2F375E">
            <w:pPr>
              <w:jc w:val="center"/>
            </w:pPr>
            <w:r>
              <w:rPr>
                <w:rFonts w:ascii="宋体" w:hAnsi="宋体" w:eastAsia="宋体"/>
                <w:sz w:val="16"/>
              </w:rPr>
              <w:t>得分</w:t>
            </w:r>
          </w:p>
        </w:tc>
      </w:tr>
      <w:tr w14:paraId="2B2B871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1CC1B8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D28BF02">
            <w:pPr>
              <w:jc w:val="center"/>
            </w:pPr>
            <w:r>
              <w:rPr>
                <w:rFonts w:ascii="宋体" w:hAnsi="宋体" w:eastAsia="宋体"/>
                <w:sz w:val="16"/>
              </w:rPr>
              <w:t>上级资金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857E268">
            <w:pPr>
              <w:jc w:val="center"/>
            </w:pPr>
            <w:r>
              <w:rPr>
                <w:rFonts w:ascii="宋体" w:hAnsi="宋体" w:eastAsia="宋体"/>
                <w:sz w:val="16"/>
              </w:rPr>
              <w:t>138.00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E9DD68">
            <w:pPr>
              <w:jc w:val="center"/>
            </w:pPr>
            <w:r>
              <w:rPr>
                <w:rFonts w:ascii="宋体" w:hAnsi="宋体" w:eastAsia="宋体"/>
                <w:sz w:val="16"/>
              </w:rPr>
              <w:t>195.36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F7631">
            <w:pPr>
              <w:jc w:val="center"/>
            </w:pPr>
            <w:r>
              <w:rPr>
                <w:rFonts w:ascii="宋体" w:hAnsi="宋体" w:eastAsia="宋体"/>
                <w:sz w:val="16"/>
              </w:rPr>
              <w:t>195.36</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A4C6AE1">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EE14FDE">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71D7E6">
            <w:pPr>
              <w:jc w:val="center"/>
            </w:pPr>
            <w:r>
              <w:rPr>
                <w:rFonts w:ascii="宋体" w:hAnsi="宋体" w:eastAsia="宋体"/>
                <w:sz w:val="16"/>
              </w:rPr>
              <w:t>-</w:t>
            </w:r>
          </w:p>
        </w:tc>
      </w:tr>
      <w:tr w14:paraId="70AB57FA">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7FF8E57"/>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51DBEBC">
            <w:pPr>
              <w:jc w:val="center"/>
            </w:pPr>
            <w:r>
              <w:rPr>
                <w:rFonts w:ascii="宋体" w:hAnsi="宋体" w:eastAsia="宋体"/>
                <w:sz w:val="16"/>
              </w:rPr>
              <w:t>本级资金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C1D4714">
            <w:pPr>
              <w:jc w:val="center"/>
            </w:pPr>
            <w:r>
              <w:rPr>
                <w:rFonts w:ascii="宋体" w:hAnsi="宋体" w:eastAsia="宋体"/>
                <w:sz w:val="16"/>
              </w:rPr>
              <w:t>837.62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7A16DFD">
            <w:pPr>
              <w:jc w:val="center"/>
            </w:pPr>
            <w:r>
              <w:rPr>
                <w:rFonts w:ascii="宋体" w:hAnsi="宋体" w:eastAsia="宋体"/>
                <w:sz w:val="16"/>
              </w:rPr>
              <w:t>894.68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9BB1F9">
            <w:pPr>
              <w:jc w:val="center"/>
            </w:pPr>
            <w:r>
              <w:rPr>
                <w:rFonts w:ascii="宋体" w:hAnsi="宋体" w:eastAsia="宋体"/>
                <w:sz w:val="16"/>
              </w:rPr>
              <w:t>894.68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45A053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40EB25">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12B5BE0">
            <w:pPr>
              <w:jc w:val="center"/>
            </w:pPr>
            <w:r>
              <w:rPr>
                <w:rFonts w:ascii="宋体" w:hAnsi="宋体" w:eastAsia="宋体"/>
                <w:sz w:val="16"/>
              </w:rPr>
              <w:t>-</w:t>
            </w:r>
          </w:p>
        </w:tc>
      </w:tr>
      <w:tr w14:paraId="261324AF">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2636D4"/>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D88DB80">
            <w:pPr>
              <w:jc w:val="center"/>
            </w:pPr>
            <w:r>
              <w:rPr>
                <w:rFonts w:ascii="宋体" w:hAnsi="宋体" w:eastAsia="宋体"/>
                <w:sz w:val="16"/>
              </w:rPr>
              <w:t>其他资金</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EABA808">
            <w:pPr>
              <w:jc w:val="center"/>
            </w:pPr>
            <w:r>
              <w:rPr>
                <w:rFonts w:ascii="宋体" w:hAnsi="宋体" w:eastAsia="宋体"/>
                <w:sz w:val="16"/>
              </w:rPr>
              <w:t>50.00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C6CB7F3">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0CE9C5">
            <w:pPr>
              <w:jc w:val="center"/>
            </w:pPr>
            <w:r>
              <w:rPr>
                <w:rFonts w:ascii="宋体" w:hAnsi="宋体" w:eastAsia="宋体"/>
                <w:sz w:val="16"/>
              </w:rPr>
              <w:t>60.00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5D09762">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B82269">
            <w:pPr>
              <w:jc w:val="center"/>
            </w:pPr>
            <w:r>
              <w:rPr>
                <w:rFonts w:ascii="宋体" w:hAnsi="宋体" w:eastAsia="宋体"/>
                <w:sz w:val="16"/>
              </w:rPr>
              <w:t>-</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991E702">
            <w:pPr>
              <w:jc w:val="center"/>
            </w:pPr>
            <w:r>
              <w:rPr>
                <w:rFonts w:ascii="宋体" w:hAnsi="宋体" w:eastAsia="宋体"/>
                <w:sz w:val="16"/>
              </w:rPr>
              <w:t>-</w:t>
            </w:r>
          </w:p>
        </w:tc>
      </w:tr>
      <w:tr w14:paraId="1C7FA3D1">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1AA9360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21B5F46">
            <w:pPr>
              <w:jc w:val="center"/>
            </w:pPr>
            <w:r>
              <w:rPr>
                <w:rFonts w:ascii="宋体" w:hAnsi="宋体" w:eastAsia="宋体"/>
                <w:sz w:val="16"/>
              </w:rPr>
              <w:t>合计</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215C2">
            <w:pPr>
              <w:jc w:val="center"/>
            </w:pPr>
            <w:r>
              <w:rPr>
                <w:rFonts w:ascii="宋体" w:hAnsi="宋体" w:eastAsia="宋体"/>
                <w:sz w:val="16"/>
              </w:rPr>
              <w:t>1,025.62</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F2235BA">
            <w:pPr>
              <w:jc w:val="center"/>
            </w:pPr>
            <w:r>
              <w:rPr>
                <w:rFonts w:ascii="宋体" w:hAnsi="宋体" w:eastAsia="宋体"/>
                <w:sz w:val="16"/>
              </w:rPr>
              <w:t>1,150.04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D2D9137">
            <w:pPr>
              <w:jc w:val="center"/>
            </w:pPr>
            <w:r>
              <w:rPr>
                <w:rFonts w:ascii="宋体" w:hAnsi="宋体" w:eastAsia="宋体"/>
                <w:sz w:val="16"/>
              </w:rPr>
              <w:t>1,150.04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81B7B84">
            <w:pPr>
              <w:jc w:val="center"/>
            </w:pPr>
            <w:r>
              <w:rPr>
                <w:rFonts w:ascii="宋体" w:hAnsi="宋体" w:eastAsia="宋体"/>
                <w:sz w:val="16"/>
              </w:rPr>
              <w:t>10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D7C01C">
            <w:pPr>
              <w:jc w:val="center"/>
            </w:pPr>
            <w:r>
              <w:rPr>
                <w:rFonts w:ascii="宋体" w:hAnsi="宋体" w:eastAsia="宋体"/>
                <w:sz w:val="16"/>
              </w:rPr>
              <w:t>100%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4AC01B">
            <w:pPr>
              <w:jc w:val="center"/>
            </w:pPr>
            <w:r>
              <w:rPr>
                <w:rFonts w:ascii="宋体" w:hAnsi="宋体" w:eastAsia="宋体"/>
                <w:sz w:val="16"/>
              </w:rPr>
              <w:t>10</w:t>
            </w:r>
          </w:p>
        </w:tc>
      </w:tr>
      <w:tr w14:paraId="28D6476D">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C52DF18">
            <w:pPr>
              <w:jc w:val="center"/>
            </w:pPr>
            <w:r>
              <w:rPr>
                <w:rFonts w:ascii="宋体" w:hAnsi="宋体" w:eastAsia="宋体"/>
                <w:sz w:val="16"/>
              </w:rPr>
              <w:t>年度总体目标</w:t>
            </w:r>
          </w:p>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657234DB">
            <w:pPr>
              <w:jc w:val="center"/>
            </w:pPr>
            <w:r>
              <w:rPr>
                <w:rFonts w:ascii="宋体" w:hAnsi="宋体" w:eastAsia="宋体"/>
                <w:sz w:val="16"/>
              </w:rPr>
              <w:t>预期目标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DDF01C">
            <w:pPr>
              <w:jc w:val="center"/>
            </w:pPr>
            <w:r>
              <w:rPr>
                <w:rFonts w:ascii="宋体" w:hAnsi="宋体" w:eastAsia="宋体"/>
                <w:sz w:val="16"/>
              </w:rPr>
              <w:t>实际完成情况</w:t>
            </w:r>
          </w:p>
        </w:tc>
      </w:tr>
      <w:tr w14:paraId="367EC66E">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01F02C6"/>
        </w:tc>
        <w:tc>
          <w:tcPr>
            <w:tcW w:w="2949" w:type="dxa"/>
            <w:gridSpan w:val="3"/>
            <w:tcBorders>
              <w:top w:val="single" w:color="auto" w:sz="10" w:space="0"/>
              <w:left w:val="single" w:color="auto" w:sz="10" w:space="0"/>
              <w:bottom w:val="single" w:color="auto" w:sz="10" w:space="0"/>
              <w:right w:val="single" w:color="auto" w:sz="10" w:space="0"/>
              <w:insideV w:val="single" w:sz="10" w:space="0"/>
            </w:tcBorders>
            <w:vAlign w:val="center"/>
          </w:tcPr>
          <w:p w14:paraId="4C8C740D">
            <w:pPr>
              <w:jc w:val="both"/>
            </w:pPr>
            <w:r>
              <w:rPr>
                <w:rFonts w:ascii="宋体" w:hAnsi="宋体" w:eastAsia="宋体"/>
                <w:sz w:val="16"/>
              </w:rPr>
              <w:t>（一）强化政治自觉，以更强担当厚植党的执政根基。牢牢把握检察机关的政治属性，切实把思想和行动统一到党的二十大精神上来，更加自觉坚持“两个确立”，</w:t>
            </w:r>
            <w:r>
              <w:rPr>
                <w:rFonts w:hint="eastAsia" w:ascii="宋体" w:hAnsi="宋体"/>
                <w:sz w:val="16"/>
                <w:lang w:eastAsia="zh-CN"/>
              </w:rPr>
              <w:t>坚决做到“两个维护”</w:t>
            </w:r>
            <w:r>
              <w:rPr>
                <w:rFonts w:ascii="宋体" w:hAnsi="宋体" w:eastAsia="宋体"/>
                <w:sz w:val="16"/>
              </w:rPr>
              <w:t>。坚决贯彻《中国共产党政法工作条例》，压实全面从严管党治检主体责任，把讲政治实实在在融入、落实到检察工作各方面、全过程。推进政治建设与业务建设融为一体，打造特色鲜明的党建检察文化品牌，不断提高“政治三力”。严格落实意识形态工作责任制，建设健康向上的检察意识形态主阵地。</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二是精准融入大局，以更优服务护航经济社会发展。深入践行总体国家安全观，坚持依法严打方针，对恐怖主义和极端主义犯罪保持严打高压态势，坚决防止暴恐活动反弹和极端主义死灰复燃。持续推进常态化扫黑除恶斗争，坚持打深打透打彻底，达到“常治长效”。在经济建设主战场上主动作为，积极服务重大项目建设，平等保护企业合法权益，持续完善和落实第三方监督评估机制，切实推动企业合规工作全面开展，努力优化营商环境。规范推进认罪认罚从宽制度，用足用好少捕慎诉慎押刑事司法政策，防范化解社会矛盾，用能动履职的理念，交好服务经济社会高质量发展的答卷。</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三是坚持紧贴民心，以更深情怀落实人民至上理念。拓展检察为民新渠道，以检察担当守护人民群众美好生活。聚焦</w:t>
            </w:r>
            <w:r>
              <w:rPr>
                <w:rFonts w:hint="eastAsia" w:ascii="宋体" w:hAnsi="宋体"/>
                <w:sz w:val="16"/>
                <w:lang w:eastAsia="zh-CN"/>
              </w:rPr>
              <w:t>人民群众急难愁盼问题</w:t>
            </w:r>
            <w:r>
              <w:rPr>
                <w:rFonts w:ascii="宋体" w:hAnsi="宋体" w:eastAsia="宋体"/>
                <w:sz w:val="16"/>
              </w:rPr>
              <w:t>，切实履行批捕、起诉和诉讼监督职能，持续强化对人民群众反映强烈的盗抢骗、食药环等犯罪的高压打击态势，守护老百姓的“钱袋子”“菜篮子”。深入推进未成年人保护专项行动，加强对妇女、儿童、老年人、残疾人等特殊人群的司法保护，加大司法救助力度。用心用情办好群众身边的“小案”，以求极致的态度把“小案”办成“精案”，促进案结事了、政通人和。积极参与社会治理，推进落实最高人民检察院第一至第八号检察建议，针对办案中发现的普遍性、倾向性问题制发检察建议，推动法律监督由个案监督向类案监督拓展。进一步扩大法治宣传，强化检察办案释法说理能力，切实回应人民群众法治需求。</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四是深耕主责主业，以更好履职提升法律监督成效。认真落实党的二十大报告提出的“加强检察机关法律监督工作”“完善公益诉讼制度”要求，围绕深化全面依法治市，健全与其他执法司法机关良性互动的监督制约机制，共同维护公平公正。依托侦查监督与协作配合办公室，开展穿透式监督。以精准监督为导向，做实民事行政检察工作。积极稳妥深化公益诉讼新领域的实践探索，常态化抓好检察建议整改落实情况“回头看”，完善协同共治公益保护格局。更大力度推进数字检察工作，以大数据赋能释放法律监督效能。</w:t>
            </w:r>
            <w:r>
              <w:rPr>
                <w:rFonts w:ascii="宋体" w:hAnsi="宋体" w:eastAsia="宋体"/>
                <w:sz w:val="16"/>
              </w:rPr>
              <w:br w:type="textWrapping"/>
            </w:r>
            <w:r>
              <w:rPr>
                <w:rFonts w:ascii="宋体" w:hAnsi="宋体" w:eastAsia="宋体"/>
                <w:sz w:val="16"/>
              </w:rPr>
              <w:br w:type="textWrapping"/>
            </w:r>
            <w:r>
              <w:rPr>
                <w:rFonts w:ascii="宋体" w:hAnsi="宋体" w:eastAsia="宋体"/>
                <w:sz w:val="16"/>
              </w:rPr>
              <w:t>五是坚持守正创新，以更严要求加强检察队伍建设。做好主题教育</w:t>
            </w:r>
            <w:r>
              <w:rPr>
                <w:rFonts w:hint="eastAsia" w:ascii="宋体" w:hAnsi="宋体"/>
                <w:sz w:val="16"/>
                <w:lang w:eastAsia="zh-CN"/>
              </w:rPr>
              <w:t>“后半篇文章”</w:t>
            </w:r>
            <w:r>
              <w:rPr>
                <w:rFonts w:ascii="宋体" w:hAnsi="宋体" w:eastAsia="宋体"/>
                <w:sz w:val="16"/>
              </w:rPr>
              <w:t>，以问题为导向，细化整改措施，从细处入手、从实处着力，使解决问题、整改问题</w:t>
            </w:r>
            <w:r>
              <w:rPr>
                <w:rFonts w:hint="eastAsia" w:ascii="宋体" w:hAnsi="宋体"/>
                <w:sz w:val="16"/>
                <w:lang w:eastAsia="zh-CN"/>
              </w:rPr>
              <w:t>横向到边、纵向到底</w:t>
            </w:r>
            <w:r>
              <w:rPr>
                <w:rFonts w:ascii="宋体" w:hAnsi="宋体" w:eastAsia="宋体"/>
                <w:sz w:val="16"/>
              </w:rPr>
              <w:t>，坚持“当下改”与“长久立”相结合，完善相关制度，从体制机制上铲除不良作风滋生的土壤。牢记“三个务必”的要求，严格执行新时代政法干警“十个严禁”，努力打造忠诚干净担当的检察铁军。围绕“四化”建设目标，加强实践锻炼、专业训练，全面开展岗位练兵和比武备赛活动，努力实现高精尖人才和专业化办案团队的高位突破。保持严的主基调不动摇，锲而不舍落实中央八项规定精神，深化落实“三个规定”，坚决守牢制度底线。自觉接受人大、政协和社会各界监督，确保检察权规范高效运行、公信力持续稳步提升。</w:t>
            </w:r>
          </w:p>
        </w:tc>
        <w:tc>
          <w:tcPr>
            <w:tcW w:w="4915"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5EA2D83">
            <w:pPr>
              <w:jc w:val="both"/>
            </w:pPr>
            <w:r>
              <w:rPr>
                <w:rFonts w:ascii="宋体" w:hAnsi="宋体" w:eastAsia="宋体"/>
                <w:sz w:val="16"/>
              </w:rPr>
              <w:t>2024年</w:t>
            </w:r>
            <w:r>
              <w:rPr>
                <w:rFonts w:hint="eastAsia" w:ascii="宋体" w:hAnsi="宋体"/>
                <w:sz w:val="16"/>
                <w:lang w:eastAsia="zh-CN"/>
              </w:rPr>
              <w:t>本单位</w:t>
            </w:r>
            <w:r>
              <w:rPr>
                <w:rFonts w:ascii="宋体" w:hAnsi="宋体" w:eastAsia="宋体"/>
                <w:sz w:val="16"/>
              </w:rPr>
              <w:t>全年预算数为1,150.04万元，全年执行数为1150.04万元，总预算执行率为100.00%。2024年</w:t>
            </w:r>
            <w:r>
              <w:rPr>
                <w:rFonts w:hint="eastAsia" w:ascii="宋体" w:hAnsi="宋体"/>
                <w:sz w:val="16"/>
                <w:lang w:eastAsia="zh-CN"/>
              </w:rPr>
              <w:t>本单位</w:t>
            </w:r>
            <w:r>
              <w:rPr>
                <w:rFonts w:ascii="宋体" w:hAnsi="宋体" w:eastAsia="宋体"/>
                <w:sz w:val="16"/>
              </w:rPr>
              <w:t>完成以下工作内容：1.坚决贯彻落实总体国家安全观，服务构建新安全格局，全力维护社会稳定。依法批准逮捕各类犯罪嫌疑人41人；提起公诉160人。推进法治化常态化，严厉打击敌对势力渗透破坏颠覆分裂活动，批准逮捕5人，起诉4人。严惩危害人民群众生命财产安全的犯罪，起诉故意伤害、强奸等严重暴力犯罪32人，“两抢一盗”犯罪30人。坚持惩治犯罪与追赃挽损并重，全年挽回经济损失300余万元</w:t>
            </w:r>
            <w:r>
              <w:rPr>
                <w:rFonts w:hint="eastAsia" w:ascii="宋体" w:hAnsi="宋体"/>
                <w:sz w:val="16"/>
                <w:lang w:eastAsia="zh-CN"/>
              </w:rPr>
              <w:t>。</w:t>
            </w:r>
            <w:r>
              <w:rPr>
                <w:rFonts w:ascii="宋体" w:hAnsi="宋体" w:eastAsia="宋体"/>
                <w:sz w:val="16"/>
              </w:rPr>
              <w:t>2.注重用法治维护竞争有序的市场环境，积极开展“检察护企”专项行动，常态化推进涉企“挂案”清理，助力企业轻装前行。某企业法定代表人涉嫌职务侵占案，持续跟进监督3年，最终依法监督撤案。迭代升级“百检联百企”专项行动，建立涉企案件绿色通道，畅通服务途径，走访企业13家，召开检企联席会议2次，解决困难诉求4件，办理涉企民事监督案件2件</w:t>
            </w:r>
            <w:r>
              <w:rPr>
                <w:rFonts w:hint="eastAsia" w:ascii="宋体" w:hAnsi="宋体"/>
                <w:sz w:val="16"/>
                <w:lang w:eastAsia="zh-CN"/>
              </w:rPr>
              <w:t>。</w:t>
            </w:r>
            <w:r>
              <w:rPr>
                <w:rFonts w:ascii="宋体" w:hAnsi="宋体" w:eastAsia="宋体"/>
                <w:sz w:val="16"/>
              </w:rPr>
              <w:t>3.全面准确贯彻宽严相济刑事政策，对情节轻微、危害不大的案件不捕24人，不诉101人。用足用好认罪认罚从宽、刑事和解制度，把化解矛盾、修复社会关系作为履职办案的重要任务，认罪认罚适用率91.45%、量刑建议采纳率92.81%、一审服判率高达96.88%。积极探索轻罪治理“阜康模式”，完善行刑衔接机制和回访监督工作办法，建议行政机关行政处罚66人。认真做好办案</w:t>
            </w:r>
            <w:r>
              <w:rPr>
                <w:rFonts w:hint="eastAsia" w:ascii="宋体" w:hAnsi="宋体"/>
                <w:sz w:val="16"/>
                <w:lang w:eastAsia="zh-CN"/>
              </w:rPr>
              <w:t>“后半篇文章”</w:t>
            </w:r>
            <w:r>
              <w:rPr>
                <w:rFonts w:ascii="宋体" w:hAnsi="宋体" w:eastAsia="宋体"/>
                <w:sz w:val="16"/>
              </w:rPr>
              <w:t>，针对办案中发现的相关领域监管漏洞，制发各类检察建议86份，进一步做实“抓前段、治未病”。2篇入选昌吉州检察机关优秀检察建议。通过以上工作的实施，努力找准服务大局的切入点和着力点，做到中心工作推进到哪里，检察工作就服务保障到哪里。依法打击电信网络诈骗、帮助信息网络犯罪20人，守好群众“钱袋子”。开展网络新业态专项监督，办理有毒有害食品犯罪3人、药品犯罪6人，制发检察建议跟进督促整改，合力守护老百姓“舌尖上的安全”。维护盲人合法权益，办理占用盲人通道案件2件，让有“爱”变得更加无碍。发挥司法救助“一头牵着百姓疾苦，一头系着司法关爱”的功能，办理司法救助案件5件，发放救助金15余万元。加强与妇联、民政及教育等部门沟通协作，实现司法救助与社会救助的有机衔接。始终牢记人民检察为人民，践行为人民司法的初心，持续深化“检护民生”专项行动，实实在在办好惠民利民实事。</w:t>
            </w:r>
          </w:p>
        </w:tc>
      </w:tr>
      <w:tr w14:paraId="1B550952">
        <w:tblPrEx>
          <w:tblCellMar>
            <w:top w:w="0" w:type="dxa"/>
            <w:left w:w="108" w:type="dxa"/>
            <w:bottom w:w="0" w:type="dxa"/>
            <w:right w:w="108" w:type="dxa"/>
          </w:tblCellMar>
        </w:tblPrEx>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0D32015">
            <w:pPr>
              <w:jc w:val="center"/>
            </w:pPr>
            <w:r>
              <w:rPr>
                <w:rFonts w:ascii="宋体" w:hAnsi="宋体" w:eastAsia="宋体"/>
                <w:sz w:val="16"/>
              </w:rPr>
              <w:t>一级指标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7327F8">
            <w:pPr>
              <w:jc w:val="center"/>
            </w:pPr>
            <w:r>
              <w:rPr>
                <w:rFonts w:ascii="宋体" w:hAnsi="宋体" w:eastAsia="宋体"/>
                <w:sz w:val="16"/>
              </w:rPr>
              <w:t>二级指标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87111D5">
            <w:pPr>
              <w:jc w:val="center"/>
            </w:pPr>
            <w:r>
              <w:rPr>
                <w:rFonts w:ascii="宋体" w:hAnsi="宋体" w:eastAsia="宋体"/>
                <w:sz w:val="16"/>
              </w:rPr>
              <w:t>三级指标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D667199">
            <w:pPr>
              <w:jc w:val="center"/>
            </w:pPr>
            <w:r>
              <w:rPr>
                <w:rFonts w:ascii="宋体" w:hAnsi="宋体" w:eastAsia="宋体"/>
                <w:sz w:val="16"/>
              </w:rPr>
              <w:t>预期指标值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B7B469C">
            <w:pPr>
              <w:jc w:val="center"/>
            </w:pPr>
            <w:r>
              <w:rPr>
                <w:rFonts w:ascii="宋体" w:hAnsi="宋体" w:eastAsia="宋体"/>
                <w:sz w:val="16"/>
              </w:rPr>
              <w:t>指标值设定依据</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62202C4">
            <w:pPr>
              <w:jc w:val="center"/>
            </w:pPr>
            <w:r>
              <w:rPr>
                <w:rFonts w:ascii="宋体" w:hAnsi="宋体" w:eastAsia="宋体"/>
                <w:sz w:val="16"/>
              </w:rPr>
              <w:t>分值权重</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66DA66D">
            <w:pPr>
              <w:jc w:val="center"/>
            </w:pPr>
            <w:r>
              <w:rPr>
                <w:rFonts w:ascii="宋体" w:hAnsi="宋体" w:eastAsia="宋体"/>
                <w:sz w:val="16"/>
              </w:rPr>
              <w:t>实际完成指标值</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8AEE259">
            <w:pPr>
              <w:jc w:val="center"/>
            </w:pPr>
            <w:r>
              <w:rPr>
                <w:rFonts w:ascii="宋体" w:hAnsi="宋体" w:eastAsia="宋体"/>
                <w:sz w:val="16"/>
              </w:rPr>
              <w:t>得分</w:t>
            </w:r>
          </w:p>
        </w:tc>
      </w:tr>
      <w:tr w14:paraId="0DAA6176">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3945C5F">
            <w:pPr>
              <w:jc w:val="center"/>
            </w:pPr>
            <w:r>
              <w:rPr>
                <w:rFonts w:ascii="宋体" w:hAnsi="宋体" w:eastAsia="宋体"/>
                <w:sz w:val="16"/>
              </w:rPr>
              <w:t>运行成本</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BD4227">
            <w:pPr>
              <w:jc w:val="center"/>
            </w:pPr>
            <w:r>
              <w:rPr>
                <w:rFonts w:ascii="宋体" w:hAnsi="宋体" w:eastAsia="宋体"/>
                <w:sz w:val="16"/>
              </w:rPr>
              <w:t>数量指标</w:t>
            </w:r>
            <w:r>
              <w:rPr>
                <w:rFonts w:ascii="宋体" w:hAnsi="宋体" w:eastAsia="宋体"/>
                <w:sz w:val="16"/>
              </w:rPr>
              <w:tab/>
            </w:r>
            <w:r>
              <w:rPr>
                <w:rFonts w:ascii="宋体" w:hAnsi="宋体" w:eastAsia="宋体"/>
                <w:sz w:val="16"/>
              </w:rPr>
              <w:tab/>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94B294">
            <w:pPr>
              <w:jc w:val="center"/>
            </w:pPr>
            <w:r>
              <w:rPr>
                <w:rFonts w:ascii="宋体" w:hAnsi="宋体" w:eastAsia="宋体"/>
                <w:sz w:val="16"/>
              </w:rPr>
              <w:t>人民检察院批准逮捕案件数量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0C5052B">
            <w:pPr>
              <w:jc w:val="center"/>
            </w:pPr>
            <w:r>
              <w:rPr>
                <w:rFonts w:ascii="宋体" w:hAnsi="宋体" w:eastAsia="宋体"/>
                <w:sz w:val="16"/>
              </w:rPr>
              <w:t>&gt;=50件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C0C9117">
            <w:pPr>
              <w:jc w:val="center"/>
            </w:pPr>
            <w:r>
              <w:rPr>
                <w:rFonts w:ascii="宋体" w:hAnsi="宋体" w:eastAsia="宋体"/>
                <w:sz w:val="16"/>
              </w:rPr>
              <w:t>行业标准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7CC2E76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A32F8FB">
            <w:pPr>
              <w:jc w:val="center"/>
            </w:pPr>
            <w:r>
              <w:rPr>
                <w:rFonts w:ascii="宋体" w:hAnsi="宋体" w:eastAsia="宋体"/>
                <w:sz w:val="16"/>
              </w:rPr>
              <w:t>211件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9A95FDF">
            <w:pPr>
              <w:jc w:val="center"/>
            </w:pPr>
            <w:r>
              <w:rPr>
                <w:rFonts w:ascii="宋体" w:hAnsi="宋体" w:eastAsia="宋体"/>
                <w:sz w:val="16"/>
              </w:rPr>
              <w:t>15</w:t>
            </w:r>
          </w:p>
        </w:tc>
      </w:tr>
      <w:tr w14:paraId="0C43509B">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D36EBD2"/>
        </w:tc>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1B7B380">
            <w:pPr>
              <w:jc w:val="center"/>
            </w:pPr>
            <w:r>
              <w:rPr>
                <w:rFonts w:ascii="宋体" w:hAnsi="宋体" w:eastAsia="宋体"/>
                <w:sz w:val="16"/>
              </w:rPr>
              <w:t>数量指标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5FD2F3F">
            <w:pPr>
              <w:jc w:val="center"/>
            </w:pPr>
            <w:r>
              <w:rPr>
                <w:rFonts w:ascii="宋体" w:hAnsi="宋体" w:eastAsia="宋体"/>
                <w:sz w:val="16"/>
              </w:rPr>
              <w:t>人民检察院受理公益诉讼案件数量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90FC4F5">
            <w:pPr>
              <w:jc w:val="center"/>
            </w:pPr>
            <w:r>
              <w:rPr>
                <w:rFonts w:ascii="宋体" w:hAnsi="宋体" w:eastAsia="宋体"/>
                <w:sz w:val="16"/>
              </w:rPr>
              <w:t>&gt;=50件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046F8278">
            <w:pPr>
              <w:jc w:val="center"/>
            </w:pPr>
            <w:r>
              <w:rPr>
                <w:rFonts w:ascii="宋体" w:hAnsi="宋体" w:eastAsia="宋体"/>
                <w:sz w:val="16"/>
              </w:rPr>
              <w:t>行业标准</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CBAB36B">
            <w:pPr>
              <w:jc w:val="center"/>
            </w:pPr>
            <w:r>
              <w:rPr>
                <w:rFonts w:ascii="宋体" w:hAnsi="宋体" w:eastAsia="宋体"/>
                <w:sz w:val="16"/>
              </w:rPr>
              <w:t>15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B54FB68">
            <w:pPr>
              <w:jc w:val="center"/>
            </w:pPr>
            <w:r>
              <w:rPr>
                <w:rFonts w:ascii="宋体" w:hAnsi="宋体" w:eastAsia="宋体"/>
                <w:sz w:val="16"/>
              </w:rPr>
              <w:t>53件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7721063">
            <w:pPr>
              <w:jc w:val="center"/>
            </w:pPr>
            <w:r>
              <w:rPr>
                <w:rFonts w:ascii="宋体" w:hAnsi="宋体" w:eastAsia="宋体"/>
                <w:sz w:val="16"/>
              </w:rPr>
              <w:t>15</w:t>
            </w:r>
          </w:p>
        </w:tc>
      </w:tr>
      <w:tr w14:paraId="0E2B7050">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2DC0DF09"/>
        </w:tc>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04D4CC4F"/>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0EE254F">
            <w:pPr>
              <w:jc w:val="center"/>
            </w:pPr>
            <w:r>
              <w:rPr>
                <w:rFonts w:ascii="宋体" w:hAnsi="宋体" w:eastAsia="宋体"/>
                <w:sz w:val="16"/>
              </w:rPr>
              <w:t>保障机关运行人员数量</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3AB9AF3">
            <w:pPr>
              <w:jc w:val="center"/>
            </w:pPr>
            <w:r>
              <w:rPr>
                <w:rFonts w:ascii="宋体" w:hAnsi="宋体" w:eastAsia="宋体"/>
                <w:sz w:val="16"/>
              </w:rPr>
              <w:t>=54</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A866031">
            <w:pPr>
              <w:jc w:val="center"/>
            </w:pPr>
            <w:r>
              <w:rPr>
                <w:rFonts w:ascii="宋体" w:hAnsi="宋体" w:eastAsia="宋体"/>
                <w:sz w:val="16"/>
              </w:rPr>
              <w:t>编制文件</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67A3028">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7237948">
            <w:pPr>
              <w:jc w:val="center"/>
            </w:pPr>
            <w:r>
              <w:rPr>
                <w:rFonts w:ascii="宋体" w:hAnsi="宋体" w:eastAsia="宋体"/>
                <w:sz w:val="16"/>
              </w:rPr>
              <w:t>54人</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5A622B4">
            <w:pPr>
              <w:jc w:val="center"/>
            </w:pPr>
            <w:r>
              <w:rPr>
                <w:rFonts w:ascii="宋体" w:hAnsi="宋体" w:eastAsia="宋体"/>
                <w:sz w:val="16"/>
              </w:rPr>
              <w:t>20</w:t>
            </w:r>
          </w:p>
        </w:tc>
      </w:tr>
      <w:tr w14:paraId="41670BDC">
        <w:tblPrEx>
          <w:tblCellMar>
            <w:top w:w="0" w:type="dxa"/>
            <w:left w:w="108" w:type="dxa"/>
            <w:bottom w:w="0" w:type="dxa"/>
            <w:right w:w="108" w:type="dxa"/>
          </w:tblCellMar>
        </w:tblPrEx>
        <w:tc>
          <w:tcPr>
            <w:tcW w:w="983"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66F209">
            <w:pPr>
              <w:jc w:val="center"/>
            </w:pPr>
            <w:r>
              <w:rPr>
                <w:rFonts w:ascii="宋体" w:hAnsi="宋体" w:eastAsia="宋体"/>
                <w:sz w:val="16"/>
              </w:rPr>
              <w:t>管理效率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C468235">
            <w:pPr>
              <w:jc w:val="center"/>
            </w:pPr>
            <w:r>
              <w:rPr>
                <w:rFonts w:ascii="宋体" w:hAnsi="宋体" w:eastAsia="宋体"/>
                <w:sz w:val="16"/>
              </w:rPr>
              <w:t>质量指标</w:t>
            </w:r>
            <w:r>
              <w:rPr>
                <w:rFonts w:ascii="宋体" w:hAnsi="宋体" w:eastAsia="宋体"/>
                <w:sz w:val="16"/>
              </w:rPr>
              <w:tab/>
            </w:r>
            <w:r>
              <w:rPr>
                <w:rFonts w:ascii="宋体" w:hAnsi="宋体" w:eastAsia="宋体"/>
                <w:sz w:val="16"/>
              </w:rPr>
              <w:tab/>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3DED8B2">
            <w:pPr>
              <w:jc w:val="center"/>
            </w:pPr>
            <w:r>
              <w:rPr>
                <w:rFonts w:ascii="宋体" w:hAnsi="宋体" w:eastAsia="宋体"/>
                <w:sz w:val="16"/>
              </w:rPr>
              <w:t>刑事案件的结案率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26A90640">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FD8C3D7">
            <w:pPr>
              <w:jc w:val="center"/>
            </w:pPr>
            <w:r>
              <w:rPr>
                <w:rFonts w:ascii="宋体" w:hAnsi="宋体" w:eastAsia="宋体"/>
                <w:sz w:val="16"/>
              </w:rPr>
              <w:t>行业指标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3209842D">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8D15E4E">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42DE66D4">
            <w:pPr>
              <w:jc w:val="center"/>
            </w:pPr>
            <w:r>
              <w:rPr>
                <w:rFonts w:ascii="宋体" w:hAnsi="宋体" w:eastAsia="宋体"/>
                <w:sz w:val="16"/>
              </w:rPr>
              <w:t>20</w:t>
            </w:r>
          </w:p>
        </w:tc>
      </w:tr>
      <w:tr w14:paraId="3CE7B0D4">
        <w:tblPrEx>
          <w:tblCellMar>
            <w:top w:w="0" w:type="dxa"/>
            <w:left w:w="108" w:type="dxa"/>
            <w:bottom w:w="0" w:type="dxa"/>
            <w:right w:w="108" w:type="dxa"/>
          </w:tblCellMar>
        </w:tblPrEx>
        <w:tc>
          <w:tcPr>
            <w:tcW w:w="983" w:type="dxa"/>
            <w:vMerge w:val="continue"/>
            <w:tcBorders>
              <w:top w:val="single" w:color="auto" w:sz="10" w:space="0"/>
              <w:left w:val="single" w:color="auto" w:sz="10" w:space="0"/>
              <w:bottom w:val="single" w:color="auto" w:sz="10" w:space="0"/>
              <w:right w:val="single" w:color="auto" w:sz="10" w:space="0"/>
              <w:insideV w:val="single" w:sz="10" w:space="0"/>
            </w:tcBorders>
          </w:tcPr>
          <w:p w14:paraId="7A9C46C4"/>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833A2F6">
            <w:pPr>
              <w:jc w:val="center"/>
            </w:pPr>
            <w:r>
              <w:rPr>
                <w:rFonts w:ascii="宋体" w:hAnsi="宋体" w:eastAsia="宋体"/>
                <w:sz w:val="16"/>
              </w:rPr>
              <w:t>质量指标</w:t>
            </w:r>
          </w:p>
        </w:tc>
        <w:tc>
          <w:tcPr>
            <w:tcW w:w="1966"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E7D345A">
            <w:pPr>
              <w:jc w:val="center"/>
            </w:pPr>
            <w:r>
              <w:rPr>
                <w:rFonts w:ascii="宋体" w:hAnsi="宋体" w:eastAsia="宋体"/>
                <w:sz w:val="16"/>
              </w:rPr>
              <w:t>公诉案件的结案率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E9A9055">
            <w:pPr>
              <w:jc w:val="center"/>
            </w:pPr>
            <w:r>
              <w:rPr>
                <w:rFonts w:ascii="宋体" w:hAnsi="宋体" w:eastAsia="宋体"/>
                <w:sz w:val="16"/>
              </w:rPr>
              <w:t>&gt;=95%</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6B32E77E">
            <w:pPr>
              <w:jc w:val="center"/>
            </w:pPr>
            <w:r>
              <w:rPr>
                <w:rFonts w:ascii="宋体" w:hAnsi="宋体" w:eastAsia="宋体"/>
                <w:sz w:val="16"/>
              </w:rPr>
              <w:t>行业指标</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2CD220B">
            <w:pPr>
              <w:jc w:val="center"/>
            </w:pPr>
            <w:r>
              <w:rPr>
                <w:rFonts w:ascii="宋体" w:hAnsi="宋体" w:eastAsia="宋体"/>
                <w:sz w:val="16"/>
              </w:rPr>
              <w:t>20</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5311D0A7">
            <w:pPr>
              <w:jc w:val="center"/>
            </w:pPr>
            <w:r>
              <w:rPr>
                <w:rFonts w:ascii="宋体" w:hAnsi="宋体" w:eastAsia="宋体"/>
                <w:sz w:val="16"/>
              </w:rPr>
              <w:t>98%</w:t>
            </w:r>
          </w:p>
        </w:tc>
        <w:tc>
          <w:tcPr>
            <w:tcW w:w="983" w:type="dxa"/>
            <w:tcBorders>
              <w:top w:val="single" w:color="auto" w:sz="10" w:space="0"/>
              <w:left w:val="single" w:color="auto" w:sz="10" w:space="0"/>
              <w:bottom w:val="single" w:color="auto" w:sz="10" w:space="0"/>
              <w:right w:val="single" w:color="auto" w:sz="10" w:space="0"/>
              <w:insideV w:val="single" w:sz="10" w:space="0"/>
            </w:tcBorders>
            <w:vAlign w:val="center"/>
          </w:tcPr>
          <w:p w14:paraId="13AC759C">
            <w:pPr>
              <w:jc w:val="center"/>
            </w:pPr>
            <w:r>
              <w:rPr>
                <w:rFonts w:ascii="宋体" w:hAnsi="宋体" w:eastAsia="宋体"/>
                <w:sz w:val="16"/>
              </w:rPr>
              <w:t>20</w:t>
            </w:r>
          </w:p>
        </w:tc>
      </w:tr>
    </w:tbl>
    <w:p w14:paraId="1B92D756">
      <w:r>
        <w:br w:type="page"/>
      </w:r>
    </w:p>
    <w:tbl>
      <w:tblPr>
        <w:tblStyle w:val="9"/>
        <w:tblW w:w="0" w:type="auto"/>
        <w:tblInd w:w="0" w:type="dxa"/>
        <w:tblLayout w:type="autofit"/>
        <w:tblCellMar>
          <w:top w:w="0" w:type="dxa"/>
          <w:left w:w="108" w:type="dxa"/>
          <w:bottom w:w="0" w:type="dxa"/>
          <w:right w:w="108" w:type="dxa"/>
        </w:tblCellMar>
      </w:tblPr>
      <w:tblGrid>
        <w:gridCol w:w="632"/>
        <w:gridCol w:w="632"/>
        <w:gridCol w:w="632"/>
        <w:gridCol w:w="632"/>
        <w:gridCol w:w="632"/>
        <w:gridCol w:w="696"/>
        <w:gridCol w:w="632"/>
        <w:gridCol w:w="776"/>
        <w:gridCol w:w="632"/>
        <w:gridCol w:w="632"/>
        <w:gridCol w:w="632"/>
        <w:gridCol w:w="632"/>
        <w:gridCol w:w="632"/>
        <w:gridCol w:w="632"/>
      </w:tblGrid>
      <w:tr w14:paraId="7DE4279A">
        <w:tblPrEx>
          <w:tblCellMar>
            <w:top w:w="0" w:type="dxa"/>
            <w:left w:w="108" w:type="dxa"/>
            <w:bottom w:w="0" w:type="dxa"/>
            <w:right w:w="108" w:type="dxa"/>
          </w:tblCellMar>
        </w:tblPrEx>
        <w:tc>
          <w:tcPr>
            <w:tcW w:w="8848" w:type="dxa"/>
            <w:gridSpan w:val="14"/>
            <w:vAlign w:val="center"/>
          </w:tcPr>
          <w:p w14:paraId="62B9C024">
            <w:pPr>
              <w:jc w:val="center"/>
            </w:pPr>
            <w:r>
              <w:rPr>
                <w:rFonts w:ascii="宋体" w:hAnsi="宋体" w:eastAsia="宋体"/>
                <w:sz w:val="24"/>
              </w:rPr>
              <w:t>项目支出绩效自评表</w:t>
            </w:r>
          </w:p>
        </w:tc>
      </w:tr>
      <w:tr w14:paraId="66CD09EC">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353D926A">
            <w:pPr>
              <w:jc w:val="center"/>
            </w:pPr>
            <w:r>
              <w:rPr>
                <w:rFonts w:ascii="宋体" w:hAnsi="宋体" w:eastAsia="宋体"/>
                <w:sz w:val="24"/>
              </w:rPr>
              <w:t>(2024年度)</w:t>
            </w:r>
          </w:p>
        </w:tc>
      </w:tr>
      <w:tr w14:paraId="4B2B4383">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DE27B6">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28CF8563">
            <w:pPr>
              <w:jc w:val="center"/>
            </w:pPr>
            <w:r>
              <w:rPr>
                <w:rFonts w:ascii="宋体" w:hAnsi="宋体" w:eastAsia="宋体"/>
                <w:sz w:val="16"/>
              </w:rPr>
              <w:t>援疆干部周转房</w:t>
            </w:r>
          </w:p>
        </w:tc>
      </w:tr>
      <w:tr w14:paraId="246D5B32">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B17287">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7F245F31">
            <w:pPr>
              <w:jc w:val="center"/>
            </w:pPr>
            <w:r>
              <w:rPr>
                <w:rFonts w:ascii="宋体" w:hAnsi="宋体" w:eastAsia="宋体"/>
                <w:sz w:val="16"/>
              </w:rPr>
              <w:t>阜康市人民检察院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0066ADD">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4861EF54">
            <w:pPr>
              <w:jc w:val="center"/>
            </w:pPr>
            <w:r>
              <w:rPr>
                <w:rFonts w:ascii="宋体" w:hAnsi="宋体" w:eastAsia="宋体"/>
                <w:sz w:val="16"/>
              </w:rPr>
              <w:t>阜康市人民检察院</w:t>
            </w:r>
          </w:p>
        </w:tc>
      </w:tr>
      <w:tr w14:paraId="795290DF">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92335F5">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760E225">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F478E2E">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0335C47">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20591E5">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5BAAE9">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657EC58">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C37D56">
            <w:pPr>
              <w:jc w:val="center"/>
            </w:pPr>
            <w:r>
              <w:rPr>
                <w:rFonts w:ascii="宋体" w:hAnsi="宋体" w:eastAsia="宋体"/>
                <w:sz w:val="16"/>
              </w:rPr>
              <w:t>得分</w:t>
            </w:r>
          </w:p>
        </w:tc>
      </w:tr>
      <w:tr w14:paraId="17A7218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BDA7A87"/>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40A0BEF">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24F7378">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68CE1F1">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6B5344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456DB1">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B8E2356">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350026">
            <w:pPr>
              <w:jc w:val="center"/>
            </w:pPr>
            <w:r>
              <w:rPr>
                <w:rFonts w:ascii="宋体" w:hAnsi="宋体" w:eastAsia="宋体"/>
                <w:sz w:val="16"/>
              </w:rPr>
              <w:t>10.00</w:t>
            </w:r>
          </w:p>
        </w:tc>
      </w:tr>
      <w:tr w14:paraId="14708C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5F6E50"/>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5534736">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2248AFD">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C259FD8">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10F34DA">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CE0F0C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3F5F2A7">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E9B050">
            <w:pPr>
              <w:jc w:val="center"/>
            </w:pPr>
            <w:r>
              <w:rPr>
                <w:rFonts w:ascii="宋体" w:hAnsi="宋体" w:eastAsia="宋体"/>
                <w:sz w:val="16"/>
              </w:rPr>
              <w:t>—</w:t>
            </w:r>
          </w:p>
        </w:tc>
      </w:tr>
      <w:tr w14:paraId="7B98AF3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627DD"/>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B3C27C">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19AFA6C">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83F5EDE">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924FF06">
            <w:pPr>
              <w:jc w:val="center"/>
            </w:pPr>
            <w:r>
              <w:rPr>
                <w:rFonts w:ascii="宋体" w:hAnsi="宋体" w:eastAsia="宋体"/>
                <w:sz w:val="16"/>
              </w:rPr>
              <w:t>50.00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0594D5A">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088896F">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9619ED">
            <w:pPr>
              <w:jc w:val="center"/>
            </w:pPr>
            <w:r>
              <w:rPr>
                <w:rFonts w:ascii="宋体" w:hAnsi="宋体" w:eastAsia="宋体"/>
                <w:sz w:val="16"/>
              </w:rPr>
              <w:t>—</w:t>
            </w:r>
          </w:p>
        </w:tc>
      </w:tr>
      <w:tr w14:paraId="314B1B8D">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EF3E33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441E2859">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884E3A5">
            <w:pPr>
              <w:jc w:val="center"/>
            </w:pPr>
            <w:r>
              <w:rPr>
                <w:rFonts w:ascii="宋体" w:hAnsi="宋体" w:eastAsia="宋体"/>
                <w:sz w:val="16"/>
              </w:rPr>
              <w:t>实际完成情况</w:t>
            </w:r>
          </w:p>
        </w:tc>
      </w:tr>
      <w:tr w14:paraId="008822AC">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4C46C2"/>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61B8BC4">
            <w:pPr>
              <w:jc w:val="both"/>
            </w:pPr>
            <w:r>
              <w:rPr>
                <w:rFonts w:ascii="宋体" w:hAnsi="宋体" w:eastAsia="宋体"/>
                <w:sz w:val="16"/>
              </w:rPr>
              <w:t>根据单位办公区域实际情况，阜康市人民</w:t>
            </w:r>
            <w:r>
              <w:rPr>
                <w:rFonts w:hint="eastAsia" w:ascii="宋体" w:hAnsi="宋体"/>
                <w:sz w:val="16"/>
                <w:lang w:eastAsia="zh-CN"/>
              </w:rPr>
              <w:t>检察院</w:t>
            </w:r>
            <w:r>
              <w:rPr>
                <w:rFonts w:ascii="宋体" w:hAnsi="宋体" w:eastAsia="宋体"/>
                <w:sz w:val="16"/>
              </w:rPr>
              <w:t>对援疆干部宿舍购置，为我援疆干部工作人员打造更好的工作环境。</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4A222964">
            <w:pPr>
              <w:jc w:val="both"/>
            </w:pPr>
            <w:r>
              <w:rPr>
                <w:rFonts w:ascii="宋体" w:hAnsi="宋体" w:eastAsia="宋体"/>
                <w:sz w:val="16"/>
              </w:rPr>
              <w:t>2024年12月31日，该项目实际购买房屋1套，项目验收合格率100%，财政资金支付效率提升促进程度100%，项目资金支付及时率100%，项目支持资金发放准确率100%，项目投入成本等于50万元。通过该项目的实施，提升援疆干部办公环境及条件，促进了工作效率的提高，极大地满足了援疆干部的幸福感。</w:t>
            </w:r>
          </w:p>
        </w:tc>
      </w:tr>
      <w:tr w14:paraId="0D0316A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55F4768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B78422">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1B155F">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1400E9">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C7569E">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50798">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53E65C">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5AF502D">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01EA26">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C49AB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6580E8">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619C4">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31D676">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B03056">
            <w:pPr>
              <w:jc w:val="center"/>
            </w:pPr>
            <w:r>
              <w:rPr>
                <w:rFonts w:ascii="宋体" w:hAnsi="宋体" w:eastAsia="宋体"/>
                <w:sz w:val="16"/>
              </w:rPr>
              <w:t>偏差原因分析及改进措施</w:t>
            </w:r>
          </w:p>
        </w:tc>
      </w:tr>
      <w:tr w14:paraId="1A3A8209">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908BFFA">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5CD94F3">
            <w:pPr>
              <w:jc w:val="center"/>
            </w:pPr>
            <w:r>
              <w:rPr>
                <w:rFonts w:ascii="宋体" w:hAnsi="宋体" w:eastAsia="宋体"/>
                <w:sz w:val="16"/>
              </w:rPr>
              <w:t>产出指标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2D19AFA">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A6F7C0A">
            <w:pPr>
              <w:jc w:val="center"/>
            </w:pPr>
            <w:r>
              <w:rPr>
                <w:rFonts w:ascii="宋体" w:hAnsi="宋体" w:eastAsia="宋体"/>
                <w:sz w:val="16"/>
              </w:rPr>
              <w:t>购置房屋项目工程数量</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B77F8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DF9B62">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A7D1FD">
            <w:pPr>
              <w:jc w:val="center"/>
            </w:pPr>
            <w:r>
              <w:rPr>
                <w:rFonts w:ascii="宋体" w:hAnsi="宋体" w:eastAsia="宋体"/>
                <w:sz w:val="16"/>
              </w:rPr>
              <w:t>=1套</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8F51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0F91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74BC7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348792">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84B7E3">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A04FC64">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1F2441">
            <w:pPr>
              <w:jc w:val="center"/>
            </w:pPr>
          </w:p>
        </w:tc>
      </w:tr>
      <w:tr w14:paraId="1EAD2EA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A18C10A"/>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FB623F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E0D203">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8B1BB8">
            <w:pPr>
              <w:jc w:val="center"/>
            </w:pPr>
            <w:r>
              <w:rPr>
                <w:rFonts w:ascii="宋体" w:hAnsi="宋体" w:eastAsia="宋体"/>
                <w:sz w:val="16"/>
              </w:rPr>
              <w:t>项目验收合格率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52986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40F4CE">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3F64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95E31">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D38F4">
            <w:pPr>
              <w:jc w:val="center"/>
            </w:pPr>
            <w:r>
              <w:rPr>
                <w:rFonts w:ascii="宋体" w:hAnsi="宋体" w:eastAsia="宋体"/>
                <w:sz w:val="16"/>
              </w:rPr>
              <w:t>9.47</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86F75F">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6E99E">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F89BA7">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93B986A">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836FE3">
            <w:pPr>
              <w:jc w:val="center"/>
            </w:pPr>
            <w:r>
              <w:rPr>
                <w:rFonts w:ascii="宋体" w:hAnsi="宋体" w:eastAsia="宋体"/>
                <w:sz w:val="16"/>
              </w:rPr>
              <w:t>该指标计划值设定根据上年度情况设定，因本年度项目完成比较好，导致有偏差。</w:t>
            </w:r>
          </w:p>
        </w:tc>
      </w:tr>
      <w:tr w14:paraId="41A22C74">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28898E9"/>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440CE54"/>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61B0BE3">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D831C3">
            <w:pPr>
              <w:jc w:val="center"/>
            </w:pPr>
            <w:r>
              <w:rPr>
                <w:rFonts w:ascii="宋体" w:hAnsi="宋体" w:eastAsia="宋体"/>
                <w:sz w:val="16"/>
              </w:rPr>
              <w:t>财政资金支付效率提升促进程度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16B7284">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9A74E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13644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3B7AE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C3CB8C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74597">
            <w:pPr>
              <w:jc w:val="center"/>
            </w:pPr>
            <w:r>
              <w:rPr>
                <w:rFonts w:ascii="宋体" w:hAnsi="宋体" w:eastAsia="宋体"/>
                <w:sz w:val="16"/>
              </w:rPr>
              <w:t>行业标准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4BFC9A">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A93B9">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DB4B70">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707AA74">
            <w:pPr>
              <w:jc w:val="center"/>
            </w:pPr>
          </w:p>
        </w:tc>
      </w:tr>
      <w:tr w14:paraId="3441C99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D90F7CF"/>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9B9F84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42DF7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A992C1">
            <w:pPr>
              <w:jc w:val="center"/>
            </w:pPr>
            <w:r>
              <w:rPr>
                <w:rFonts w:ascii="宋体" w:hAnsi="宋体" w:eastAsia="宋体"/>
                <w:sz w:val="16"/>
              </w:rPr>
              <w:t>项目资金支付及时率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FE10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E17363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5FCF1">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285C3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36DD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3AFC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E8C349">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E706E08">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C63284E">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720F43">
            <w:pPr>
              <w:jc w:val="center"/>
            </w:pPr>
          </w:p>
        </w:tc>
      </w:tr>
      <w:tr w14:paraId="2C2C85C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7B3FEEE"/>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F1CD0AB">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6874B69E">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61D8C6">
            <w:pPr>
              <w:jc w:val="center"/>
            </w:pPr>
            <w:r>
              <w:rPr>
                <w:rFonts w:ascii="宋体" w:hAnsi="宋体" w:eastAsia="宋体"/>
                <w:sz w:val="16"/>
              </w:rPr>
              <w:t>项目支持资金发放准确率（%）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C5A8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3C4963">
            <w:pPr>
              <w:jc w:val="center"/>
            </w:pPr>
            <w:r>
              <w:rPr>
                <w:rFonts w:ascii="宋体" w:hAnsi="宋体" w:eastAsia="宋体"/>
                <w:sz w:val="16"/>
              </w:rPr>
              <w:t>&lt;=100%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60D520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66B999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E27E2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321832">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386C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893F59">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14BFD1">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2C6743">
            <w:pPr>
              <w:jc w:val="center"/>
            </w:pPr>
          </w:p>
        </w:tc>
      </w:tr>
      <w:tr w14:paraId="517C61F0">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C176B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1FA71C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B06242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17128C9">
            <w:pPr>
              <w:jc w:val="center"/>
            </w:pPr>
            <w:r>
              <w:rPr>
                <w:rFonts w:ascii="宋体" w:hAnsi="宋体" w:eastAsia="宋体"/>
                <w:sz w:val="16"/>
              </w:rPr>
              <w:t>项目投入成本</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F5678B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B084B3">
            <w:pPr>
              <w:jc w:val="center"/>
            </w:pPr>
            <w:r>
              <w:rPr>
                <w:rFonts w:ascii="宋体" w:hAnsi="宋体" w:eastAsia="宋体"/>
                <w:sz w:val="16"/>
              </w:rPr>
              <w:t>&lt;=50万元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43E813">
            <w:pPr>
              <w:jc w:val="center"/>
            </w:pPr>
            <w:r>
              <w:rPr>
                <w:rFonts w:ascii="宋体" w:hAnsi="宋体" w:eastAsia="宋体"/>
                <w:sz w:val="16"/>
              </w:rPr>
              <w:t>=50万元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6EA634">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B9A1B78">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24BE847">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4DC66">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C2BE064">
            <w:pPr>
              <w:jc w:val="center"/>
            </w:pPr>
            <w:r>
              <w:rPr>
                <w:rFonts w:ascii="宋体" w:hAnsi="宋体" w:eastAsia="宋体"/>
                <w:sz w:val="16"/>
              </w:rPr>
              <w:t>直接赋分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64A950">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DB1698">
            <w:pPr>
              <w:jc w:val="center"/>
            </w:pPr>
          </w:p>
        </w:tc>
      </w:tr>
      <w:tr w14:paraId="711CDD4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02FA227"/>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831204B">
            <w:pPr>
              <w:jc w:val="center"/>
            </w:pPr>
            <w:r>
              <w:rPr>
                <w:rFonts w:ascii="宋体" w:hAnsi="宋体" w:eastAsia="宋体"/>
                <w:sz w:val="16"/>
              </w:rPr>
              <w:t>效益指标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F85AB59">
            <w:pPr>
              <w:jc w:val="center"/>
            </w:pPr>
            <w:r>
              <w:rPr>
                <w:rFonts w:ascii="宋体" w:hAnsi="宋体" w:eastAsia="宋体"/>
                <w:sz w:val="16"/>
              </w:rPr>
              <w:t>社会效益指标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608212E">
            <w:pPr>
              <w:jc w:val="center"/>
            </w:pPr>
            <w:r>
              <w:rPr>
                <w:rFonts w:ascii="宋体" w:hAnsi="宋体" w:eastAsia="宋体"/>
                <w:sz w:val="16"/>
              </w:rPr>
              <w:t>促进改善办案基础设施和办案条件</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DE1C93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D1BB0B">
            <w:pPr>
              <w:jc w:val="center"/>
            </w:pPr>
            <w:r>
              <w:rPr>
                <w:rFonts w:ascii="宋体" w:hAnsi="宋体" w:eastAsia="宋体"/>
                <w:sz w:val="16"/>
              </w:rPr>
              <w:t>有效改善</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5FC6F7">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228A56">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94B7A2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992F8C3">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94555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4CC4BC">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B2353">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FC09E0">
            <w:pPr>
              <w:jc w:val="center"/>
            </w:pPr>
          </w:p>
        </w:tc>
      </w:tr>
      <w:tr w14:paraId="77DA83D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B84FB3E"/>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88E6D9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3E55C5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71030C">
            <w:pPr>
              <w:jc w:val="center"/>
            </w:pPr>
            <w:r>
              <w:rPr>
                <w:rFonts w:ascii="宋体" w:hAnsi="宋体" w:eastAsia="宋体"/>
                <w:sz w:val="16"/>
              </w:rPr>
              <w:t>为人民群众提供有效的公共法律服务水平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816F5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0C28DF">
            <w:pPr>
              <w:jc w:val="center"/>
            </w:pPr>
            <w:r>
              <w:rPr>
                <w:rFonts w:ascii="宋体" w:hAnsi="宋体" w:eastAsia="宋体"/>
                <w:sz w:val="16"/>
              </w:rPr>
              <w:t>有效提高</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36DD0B">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C958E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94DA7C6">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6179F0">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849F62B">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5867F38">
            <w:pPr>
              <w:jc w:val="center"/>
            </w:pPr>
            <w:r>
              <w:rPr>
                <w:rFonts w:ascii="宋体" w:hAnsi="宋体" w:eastAsia="宋体"/>
                <w:sz w:val="16"/>
              </w:rPr>
              <w:t>按评判等级赋分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445A5B">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A666752">
            <w:pPr>
              <w:jc w:val="center"/>
            </w:pPr>
          </w:p>
        </w:tc>
      </w:tr>
      <w:tr w14:paraId="752C6902">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A83A47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83B67F1">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85BFE58">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922A69">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C3DECE7">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10FA8F">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81B25C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C0DD0">
            <w:pPr>
              <w:jc w:val="center"/>
            </w:pPr>
            <w:r>
              <w:rPr>
                <w:rFonts w:ascii="宋体" w:hAnsi="宋体" w:eastAsia="宋体"/>
                <w:sz w:val="16"/>
              </w:rPr>
              <w:t>105.26%</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9B135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5E373A">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13A53C4">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1B2902">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E450C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AC8135D">
            <w:pPr>
              <w:jc w:val="center"/>
            </w:pPr>
            <w:r>
              <w:rPr>
                <w:rFonts w:ascii="宋体" w:hAnsi="宋体" w:eastAsia="宋体"/>
                <w:sz w:val="16"/>
              </w:rPr>
              <w:t>该指标计划值设定根据上年度情况设定，因本年度项目完成比较好，导致有偏差。</w:t>
            </w:r>
          </w:p>
        </w:tc>
      </w:tr>
      <w:tr w14:paraId="3EFC7D67">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059DAD20">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BCC0A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DCC0849"/>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474A0FF"/>
        </w:tc>
        <w:tc>
          <w:tcPr>
            <w:tcW w:w="632" w:type="dxa"/>
            <w:tcBorders>
              <w:top w:val="single" w:color="auto" w:sz="10" w:space="0"/>
              <w:left w:val="single" w:color="auto" w:sz="10" w:space="0"/>
              <w:bottom w:val="single" w:color="auto" w:sz="10" w:space="0"/>
              <w:right w:val="single" w:color="auto" w:sz="10" w:space="0"/>
              <w:insideV w:val="single" w:sz="10" w:space="0"/>
            </w:tcBorders>
          </w:tcPr>
          <w:p w14:paraId="7D1A8F3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EE25DD1">
            <w:pPr>
              <w:jc w:val="center"/>
            </w:pPr>
            <w:r>
              <w:rPr>
                <w:rFonts w:ascii="宋体" w:hAnsi="宋体" w:eastAsia="宋体"/>
                <w:sz w:val="16"/>
              </w:rPr>
              <w:t>99.47分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77414E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C9D55A4"/>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AB04B8"/>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2FE376D"/>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2F090ED"/>
        </w:tc>
      </w:tr>
    </w:tbl>
    <w:p w14:paraId="46AB8239">
      <w:r>
        <w:br w:type="page"/>
      </w:r>
    </w:p>
    <w:tbl>
      <w:tblPr>
        <w:tblStyle w:val="9"/>
        <w:tblW w:w="0" w:type="auto"/>
        <w:tblInd w:w="0" w:type="dxa"/>
        <w:tblLayout w:type="autofit"/>
        <w:tblCellMar>
          <w:top w:w="0" w:type="dxa"/>
          <w:left w:w="108" w:type="dxa"/>
          <w:bottom w:w="0" w:type="dxa"/>
          <w:right w:w="108" w:type="dxa"/>
        </w:tblCellMar>
      </w:tblPr>
      <w:tblGrid>
        <w:gridCol w:w="620"/>
        <w:gridCol w:w="600"/>
        <w:gridCol w:w="600"/>
        <w:gridCol w:w="696"/>
        <w:gridCol w:w="610"/>
        <w:gridCol w:w="856"/>
        <w:gridCol w:w="696"/>
        <w:gridCol w:w="620"/>
        <w:gridCol w:w="696"/>
        <w:gridCol w:w="600"/>
        <w:gridCol w:w="630"/>
        <w:gridCol w:w="602"/>
        <w:gridCol w:w="603"/>
        <w:gridCol w:w="631"/>
      </w:tblGrid>
      <w:tr w14:paraId="54F8E795">
        <w:tblPrEx>
          <w:tblCellMar>
            <w:top w:w="0" w:type="dxa"/>
            <w:left w:w="108" w:type="dxa"/>
            <w:bottom w:w="0" w:type="dxa"/>
            <w:right w:w="108" w:type="dxa"/>
          </w:tblCellMar>
        </w:tblPrEx>
        <w:tc>
          <w:tcPr>
            <w:tcW w:w="8848" w:type="dxa"/>
            <w:gridSpan w:val="14"/>
            <w:vAlign w:val="center"/>
          </w:tcPr>
          <w:p w14:paraId="2CB7DAC9">
            <w:pPr>
              <w:jc w:val="center"/>
            </w:pPr>
            <w:r>
              <w:rPr>
                <w:rFonts w:ascii="宋体" w:hAnsi="宋体" w:eastAsia="宋体"/>
                <w:sz w:val="24"/>
              </w:rPr>
              <w:t>项目支出绩效自评表</w:t>
            </w:r>
          </w:p>
        </w:tc>
      </w:tr>
      <w:tr w14:paraId="487E44B1">
        <w:tblPrEx>
          <w:tblCellMar>
            <w:top w:w="0" w:type="dxa"/>
            <w:left w:w="108" w:type="dxa"/>
            <w:bottom w:w="0" w:type="dxa"/>
            <w:right w:w="108" w:type="dxa"/>
          </w:tblCellMar>
        </w:tblPrEx>
        <w:tc>
          <w:tcPr>
            <w:tcW w:w="8848" w:type="dxa"/>
            <w:gridSpan w:val="14"/>
            <w:tcBorders>
              <w:top w:val="single" w:color="auto" w:sz="10" w:space="0"/>
              <w:left w:val="single" w:color="auto" w:sz="10" w:space="0"/>
              <w:bottom w:val="single" w:color="auto" w:sz="10" w:space="0"/>
              <w:right w:val="single" w:color="auto" w:sz="10" w:space="0"/>
              <w:insideV w:val="single" w:sz="10" w:space="0"/>
            </w:tcBorders>
            <w:vAlign w:val="center"/>
          </w:tcPr>
          <w:p w14:paraId="4902634E">
            <w:pPr>
              <w:jc w:val="center"/>
            </w:pPr>
            <w:r>
              <w:rPr>
                <w:rFonts w:ascii="宋体" w:hAnsi="宋体" w:eastAsia="宋体"/>
                <w:sz w:val="24"/>
              </w:rPr>
              <w:t>(2024年度)</w:t>
            </w:r>
          </w:p>
        </w:tc>
      </w:tr>
      <w:tr w14:paraId="4AFE016A">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44E320E">
            <w:pPr>
              <w:jc w:val="center"/>
            </w:pPr>
            <w:r>
              <w:rPr>
                <w:rFonts w:ascii="宋体" w:hAnsi="宋体" w:eastAsia="宋体"/>
                <w:sz w:val="16"/>
              </w:rPr>
              <w:t>项目名称</w:t>
            </w:r>
          </w:p>
        </w:tc>
        <w:tc>
          <w:tcPr>
            <w:tcW w:w="8216" w:type="dxa"/>
            <w:gridSpan w:val="13"/>
            <w:tcBorders>
              <w:top w:val="single" w:color="auto" w:sz="10" w:space="0"/>
              <w:left w:val="single" w:color="auto" w:sz="10" w:space="0"/>
              <w:bottom w:val="single" w:color="auto" w:sz="10" w:space="0"/>
              <w:right w:val="single" w:color="auto" w:sz="10" w:space="0"/>
              <w:insideV w:val="single" w:sz="10" w:space="0"/>
            </w:tcBorders>
            <w:vAlign w:val="center"/>
          </w:tcPr>
          <w:p w14:paraId="1D5773E8">
            <w:pPr>
              <w:jc w:val="center"/>
            </w:pPr>
            <w:r>
              <w:rPr>
                <w:rFonts w:ascii="宋体" w:hAnsi="宋体" w:eastAsia="宋体"/>
                <w:sz w:val="16"/>
              </w:rPr>
              <w:t>机房不间断电源购置及改造</w:t>
            </w:r>
          </w:p>
        </w:tc>
      </w:tr>
      <w:tr w14:paraId="1A58C745">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FF241A">
            <w:pPr>
              <w:jc w:val="center"/>
            </w:pPr>
            <w:r>
              <w:rPr>
                <w:rFonts w:ascii="宋体" w:hAnsi="宋体" w:eastAsia="宋体"/>
                <w:sz w:val="16"/>
              </w:rPr>
              <w:t>主管部门</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ACA6042">
            <w:pPr>
              <w:jc w:val="center"/>
            </w:pPr>
            <w:r>
              <w:rPr>
                <w:rFonts w:ascii="宋体" w:hAnsi="宋体" w:eastAsia="宋体"/>
                <w:sz w:val="16"/>
              </w:rPr>
              <w:t>阜康市人民检察院</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2F93A0">
            <w:pPr>
              <w:jc w:val="center"/>
            </w:pPr>
            <w:r>
              <w:rPr>
                <w:rFonts w:ascii="宋体" w:hAnsi="宋体" w:eastAsia="宋体"/>
                <w:sz w:val="16"/>
              </w:rPr>
              <w:t>实施单位</w:t>
            </w:r>
          </w:p>
        </w:tc>
        <w:tc>
          <w:tcPr>
            <w:tcW w:w="3160" w:type="dxa"/>
            <w:gridSpan w:val="5"/>
            <w:tcBorders>
              <w:top w:val="single" w:color="auto" w:sz="10" w:space="0"/>
              <w:left w:val="single" w:color="auto" w:sz="10" w:space="0"/>
              <w:bottom w:val="single" w:color="auto" w:sz="10" w:space="0"/>
              <w:right w:val="single" w:color="auto" w:sz="10" w:space="0"/>
              <w:insideV w:val="single" w:sz="10" w:space="0"/>
            </w:tcBorders>
            <w:vAlign w:val="center"/>
          </w:tcPr>
          <w:p w14:paraId="6C6F5CE1">
            <w:pPr>
              <w:jc w:val="center"/>
            </w:pPr>
            <w:r>
              <w:rPr>
                <w:rFonts w:ascii="宋体" w:hAnsi="宋体" w:eastAsia="宋体"/>
                <w:sz w:val="16"/>
              </w:rPr>
              <w:t>阜康市人民检察院</w:t>
            </w:r>
          </w:p>
        </w:tc>
      </w:tr>
      <w:tr w14:paraId="6790B8E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138ECA9">
            <w:pPr>
              <w:jc w:val="center"/>
            </w:pPr>
            <w:r>
              <w:rPr>
                <w:rFonts w:ascii="宋体" w:hAnsi="宋体" w:eastAsia="宋体"/>
                <w:sz w:val="16"/>
              </w:rPr>
              <w:t>项目资金（万元）</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214731">
            <w:pPr>
              <w:jc w:val="center"/>
            </w:pP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A0BE911">
            <w:pPr>
              <w:jc w:val="center"/>
            </w:pPr>
            <w:r>
              <w:rPr>
                <w:rFonts w:ascii="宋体" w:hAnsi="宋体" w:eastAsia="宋体"/>
                <w:sz w:val="16"/>
              </w:rPr>
              <w:t>年初预算数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27DA439">
            <w:pPr>
              <w:jc w:val="center"/>
            </w:pPr>
            <w:r>
              <w:rPr>
                <w:rFonts w:ascii="宋体" w:hAnsi="宋体" w:eastAsia="宋体"/>
                <w:sz w:val="16"/>
              </w:rPr>
              <w:t>全年预算数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ABDA714">
            <w:pPr>
              <w:jc w:val="center"/>
            </w:pPr>
            <w:r>
              <w:rPr>
                <w:rFonts w:ascii="宋体" w:hAnsi="宋体" w:eastAsia="宋体"/>
                <w:sz w:val="16"/>
              </w:rPr>
              <w:t>全年执行数</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18B70C0">
            <w:pPr>
              <w:jc w:val="center"/>
            </w:pPr>
            <w:r>
              <w:rPr>
                <w:rFonts w:ascii="宋体" w:hAnsi="宋体" w:eastAsia="宋体"/>
                <w:sz w:val="16"/>
              </w:rPr>
              <w:t>分值</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E27E060">
            <w:pPr>
              <w:jc w:val="center"/>
            </w:pPr>
            <w:r>
              <w:rPr>
                <w:rFonts w:ascii="宋体" w:hAnsi="宋体" w:eastAsia="宋体"/>
                <w:sz w:val="16"/>
              </w:rPr>
              <w:t>执行率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8E8026">
            <w:pPr>
              <w:jc w:val="center"/>
            </w:pPr>
            <w:r>
              <w:rPr>
                <w:rFonts w:ascii="宋体" w:hAnsi="宋体" w:eastAsia="宋体"/>
                <w:sz w:val="16"/>
              </w:rPr>
              <w:t>得分</w:t>
            </w:r>
          </w:p>
        </w:tc>
      </w:tr>
      <w:tr w14:paraId="4BE5D908">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367CADF"/>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9EBA361">
            <w:pPr>
              <w:jc w:val="center"/>
            </w:pPr>
            <w:r>
              <w:rPr>
                <w:rFonts w:ascii="宋体" w:hAnsi="宋体" w:eastAsia="宋体"/>
                <w:sz w:val="16"/>
              </w:rPr>
              <w:t>年度资金总额</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6B8C6E0">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DCBBB4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93CFC65">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55F439E">
            <w:pPr>
              <w:jc w:val="center"/>
            </w:pPr>
            <w:r>
              <w:rPr>
                <w:rFonts w:ascii="宋体" w:hAnsi="宋体" w:eastAsia="宋体"/>
                <w:sz w:val="16"/>
              </w:rPr>
              <w:t>10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FACF0A0">
            <w:pPr>
              <w:jc w:val="center"/>
            </w:pPr>
            <w:r>
              <w:rPr>
                <w:rFonts w:ascii="宋体" w:hAnsi="宋体" w:eastAsia="宋体"/>
                <w:sz w:val="16"/>
              </w:rPr>
              <w:t>100.00%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3190C3">
            <w:pPr>
              <w:jc w:val="center"/>
            </w:pPr>
            <w:r>
              <w:rPr>
                <w:rFonts w:ascii="宋体" w:hAnsi="宋体" w:eastAsia="宋体"/>
                <w:sz w:val="16"/>
              </w:rPr>
              <w:t>10.00</w:t>
            </w:r>
          </w:p>
        </w:tc>
      </w:tr>
      <w:tr w14:paraId="0E3E1DC3">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05A2D9BB"/>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AFDEAAA">
            <w:pPr>
              <w:jc w:val="center"/>
            </w:pPr>
            <w:r>
              <w:rPr>
                <w:rFonts w:ascii="宋体" w:hAnsi="宋体" w:eastAsia="宋体"/>
                <w:sz w:val="16"/>
              </w:rPr>
              <w:t>其中：当年财政拨款</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68E5FCD0">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B12FBC1">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0455633">
            <w:pPr>
              <w:jc w:val="center"/>
            </w:pPr>
            <w:r>
              <w:rPr>
                <w:rFonts w:ascii="宋体" w:hAnsi="宋体" w:eastAsia="宋体"/>
                <w:sz w:val="16"/>
              </w:rPr>
              <w:t>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1A6A9A03">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250EC22C">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0CDB72">
            <w:pPr>
              <w:jc w:val="center"/>
            </w:pPr>
            <w:r>
              <w:rPr>
                <w:rFonts w:ascii="宋体" w:hAnsi="宋体" w:eastAsia="宋体"/>
                <w:sz w:val="16"/>
              </w:rPr>
              <w:t>—</w:t>
            </w:r>
          </w:p>
        </w:tc>
      </w:tr>
      <w:tr w14:paraId="64DCC8E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FF007C9"/>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36F8B4B7">
            <w:pPr>
              <w:jc w:val="center"/>
            </w:pPr>
            <w:r>
              <w:rPr>
                <w:rFonts w:ascii="宋体" w:hAnsi="宋体" w:eastAsia="宋体"/>
                <w:sz w:val="16"/>
              </w:rPr>
              <w:t xml:space="preserve">  其他资金</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0A1EDF4">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095333C1">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57257D8D">
            <w:pPr>
              <w:jc w:val="center"/>
            </w:pPr>
            <w:r>
              <w:rPr>
                <w:rFonts w:ascii="宋体" w:hAnsi="宋体" w:eastAsia="宋体"/>
                <w:sz w:val="16"/>
              </w:rPr>
              <w:t>10.00</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7458C981">
            <w:pPr>
              <w:jc w:val="center"/>
            </w:pPr>
            <w:r>
              <w:rPr>
                <w:rFonts w:ascii="宋体" w:hAnsi="宋体" w:eastAsia="宋体"/>
                <w:sz w:val="16"/>
              </w:rPr>
              <w:t>—</w:t>
            </w:r>
          </w:p>
        </w:tc>
        <w:tc>
          <w:tcPr>
            <w:tcW w:w="1264" w:type="dxa"/>
            <w:gridSpan w:val="2"/>
            <w:tcBorders>
              <w:top w:val="single" w:color="auto" w:sz="10" w:space="0"/>
              <w:left w:val="single" w:color="auto" w:sz="10" w:space="0"/>
              <w:bottom w:val="single" w:color="auto" w:sz="10" w:space="0"/>
              <w:right w:val="single" w:color="auto" w:sz="10" w:space="0"/>
              <w:insideV w:val="single" w:sz="10" w:space="0"/>
            </w:tcBorders>
            <w:vAlign w:val="center"/>
          </w:tcPr>
          <w:p w14:paraId="447B0A85">
            <w:pPr>
              <w:jc w:val="center"/>
            </w:pPr>
            <w:r>
              <w:rPr>
                <w:rFonts w:ascii="宋体" w:hAnsi="宋体" w:eastAsia="宋体"/>
                <w:sz w:val="16"/>
              </w:rPr>
              <w:t>—</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358907">
            <w:pPr>
              <w:jc w:val="center"/>
            </w:pPr>
            <w:r>
              <w:rPr>
                <w:rFonts w:ascii="宋体" w:hAnsi="宋体" w:eastAsia="宋体"/>
                <w:sz w:val="16"/>
              </w:rPr>
              <w:t>—</w:t>
            </w:r>
          </w:p>
        </w:tc>
      </w:tr>
      <w:tr w14:paraId="59A69957">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34EF6F">
            <w:pPr>
              <w:jc w:val="center"/>
            </w:pPr>
            <w:r>
              <w:rPr>
                <w:rFonts w:ascii="宋体" w:hAnsi="宋体" w:eastAsia="宋体"/>
                <w:sz w:val="16"/>
              </w:rPr>
              <w:t>年度总体目标</w:t>
            </w:r>
          </w:p>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68BA90A1">
            <w:pPr>
              <w:jc w:val="center"/>
            </w:pPr>
            <w:r>
              <w:rPr>
                <w:rFonts w:ascii="宋体" w:hAnsi="宋体" w:eastAsia="宋体"/>
                <w:sz w:val="16"/>
              </w:rPr>
              <w:t>预期目标</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7C6792D6">
            <w:pPr>
              <w:jc w:val="center"/>
            </w:pPr>
            <w:r>
              <w:rPr>
                <w:rFonts w:ascii="宋体" w:hAnsi="宋体" w:eastAsia="宋体"/>
                <w:sz w:val="16"/>
              </w:rPr>
              <w:t>实际完成情况</w:t>
            </w:r>
          </w:p>
        </w:tc>
      </w:tr>
      <w:tr w14:paraId="4247A5E1">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C9C4108"/>
        </w:tc>
        <w:tc>
          <w:tcPr>
            <w:tcW w:w="4424" w:type="dxa"/>
            <w:gridSpan w:val="7"/>
            <w:tcBorders>
              <w:top w:val="single" w:color="auto" w:sz="10" w:space="0"/>
              <w:left w:val="single" w:color="auto" w:sz="10" w:space="0"/>
              <w:bottom w:val="single" w:color="auto" w:sz="10" w:space="0"/>
              <w:right w:val="single" w:color="auto" w:sz="10" w:space="0"/>
              <w:insideV w:val="single" w:sz="10" w:space="0"/>
            </w:tcBorders>
            <w:vAlign w:val="center"/>
          </w:tcPr>
          <w:p w14:paraId="3CFFC4D7">
            <w:pPr>
              <w:jc w:val="both"/>
            </w:pPr>
            <w:r>
              <w:rPr>
                <w:rFonts w:ascii="宋体" w:hAnsi="宋体" w:eastAsia="宋体"/>
                <w:sz w:val="16"/>
              </w:rPr>
              <w:t>2024年该项目计划投入10万元，购买U盾间断电源一个。维修维护153</w:t>
            </w:r>
            <w:r>
              <w:rPr>
                <w:rFonts w:hint="eastAsia" w:ascii="宋体" w:hAnsi="宋体"/>
                <w:sz w:val="16"/>
                <w:lang w:eastAsia="zh-CN"/>
              </w:rPr>
              <w:t>平方米</w:t>
            </w:r>
            <w:r>
              <w:rPr>
                <w:rFonts w:ascii="宋体" w:hAnsi="宋体" w:eastAsia="宋体"/>
                <w:sz w:val="16"/>
              </w:rPr>
              <w:t>。保障</w:t>
            </w:r>
            <w:r>
              <w:rPr>
                <w:rFonts w:hint="eastAsia" w:ascii="宋体" w:hAnsi="宋体"/>
                <w:sz w:val="16"/>
                <w:lang w:eastAsia="zh-CN"/>
              </w:rPr>
              <w:t>本单位</w:t>
            </w:r>
            <w:r>
              <w:rPr>
                <w:rFonts w:ascii="宋体" w:hAnsi="宋体" w:eastAsia="宋体"/>
                <w:sz w:val="16"/>
              </w:rPr>
              <w:t>53人正常的工作秩序，及时合规采购设备，保障单位电源正常运转，调动职工工作积极性，提高业务开展效率，提升公共服务能力。</w:t>
            </w:r>
          </w:p>
        </w:tc>
        <w:tc>
          <w:tcPr>
            <w:tcW w:w="3792" w:type="dxa"/>
            <w:gridSpan w:val="6"/>
            <w:tcBorders>
              <w:top w:val="single" w:color="auto" w:sz="10" w:space="0"/>
              <w:left w:val="single" w:color="auto" w:sz="10" w:space="0"/>
              <w:bottom w:val="single" w:color="auto" w:sz="10" w:space="0"/>
              <w:right w:val="single" w:color="auto" w:sz="10" w:space="0"/>
              <w:insideV w:val="single" w:sz="10" w:space="0"/>
            </w:tcBorders>
            <w:vAlign w:val="center"/>
          </w:tcPr>
          <w:p w14:paraId="07AF31A5">
            <w:pPr>
              <w:jc w:val="both"/>
            </w:pPr>
            <w:r>
              <w:rPr>
                <w:rFonts w:ascii="宋体" w:hAnsi="宋体" w:eastAsia="宋体"/>
                <w:sz w:val="16"/>
              </w:rPr>
              <w:t>截止至2024年12月31日，该项目实际设备购置数量（1个），维修维护153平方，设备验收合格率为100%，设备费用45100元，维护费用5.09万元。及时合规采购设备，保障单位电源正常运转，调动职工工作积极性，提高业务开展效率，提升公共服务能力，促进了四大检察业务的质效。</w:t>
            </w:r>
          </w:p>
        </w:tc>
      </w:tr>
      <w:tr w14:paraId="0529F02F">
        <w:tblPrEx>
          <w:tblCellMar>
            <w:top w:w="0" w:type="dxa"/>
            <w:left w:w="108" w:type="dxa"/>
            <w:bottom w:w="0" w:type="dxa"/>
            <w:right w:w="108" w:type="dxa"/>
          </w:tblCellMar>
        </w:tblPrEx>
        <w:tc>
          <w:tcPr>
            <w:tcW w:w="632" w:type="dxa"/>
            <w:tcBorders>
              <w:top w:val="single" w:color="auto" w:sz="10" w:space="0"/>
              <w:left w:val="single" w:color="auto" w:sz="10" w:space="0"/>
              <w:bottom w:val="single" w:color="auto" w:sz="10" w:space="0"/>
              <w:right w:val="single" w:color="auto" w:sz="10" w:space="0"/>
              <w:insideV w:val="single" w:sz="10" w:space="0"/>
            </w:tcBorders>
          </w:tcPr>
          <w:p w14:paraId="090786BA"/>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5B97998">
            <w:pPr>
              <w:jc w:val="center"/>
            </w:pPr>
            <w:r>
              <w:rPr>
                <w:rFonts w:ascii="宋体" w:hAnsi="宋体" w:eastAsia="宋体"/>
                <w:sz w:val="16"/>
              </w:rPr>
              <w:t>一级指标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8185B64">
            <w:pPr>
              <w:jc w:val="center"/>
            </w:pPr>
            <w:r>
              <w:rPr>
                <w:rFonts w:ascii="宋体" w:hAnsi="宋体" w:eastAsia="宋体"/>
                <w:sz w:val="16"/>
              </w:rPr>
              <w:t>二级指标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016656">
            <w:pPr>
              <w:jc w:val="center"/>
            </w:pPr>
            <w:r>
              <w:rPr>
                <w:rFonts w:ascii="宋体" w:hAnsi="宋体" w:eastAsia="宋体"/>
                <w:sz w:val="16"/>
              </w:rPr>
              <w:t>三级指标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12C0051">
            <w:pPr>
              <w:jc w:val="center"/>
            </w:pPr>
            <w:r>
              <w:rPr>
                <w:rFonts w:ascii="宋体" w:hAnsi="宋体" w:eastAsia="宋体"/>
                <w:sz w:val="16"/>
              </w:rPr>
              <w:t>权重</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A6B2D77">
            <w:pPr>
              <w:jc w:val="center"/>
            </w:pPr>
            <w:r>
              <w:rPr>
                <w:rFonts w:ascii="宋体" w:hAnsi="宋体" w:eastAsia="宋体"/>
                <w:sz w:val="16"/>
              </w:rPr>
              <w:t>目标值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42AA686">
            <w:pPr>
              <w:jc w:val="center"/>
            </w:pPr>
            <w:r>
              <w:rPr>
                <w:rFonts w:ascii="宋体" w:hAnsi="宋体" w:eastAsia="宋体"/>
                <w:sz w:val="16"/>
              </w:rPr>
              <w:t>业绩值</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5A646B">
            <w:pPr>
              <w:jc w:val="center"/>
            </w:pPr>
            <w:r>
              <w:rPr>
                <w:rFonts w:ascii="宋体" w:hAnsi="宋体" w:eastAsia="宋体"/>
                <w:sz w:val="16"/>
              </w:rPr>
              <w:t>完成率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EAD95">
            <w:pPr>
              <w:jc w:val="center"/>
            </w:pPr>
            <w:r>
              <w:rPr>
                <w:rFonts w:ascii="宋体" w:hAnsi="宋体" w:eastAsia="宋体"/>
                <w:sz w:val="16"/>
              </w:rPr>
              <w:t>指标得分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E327EB">
            <w:pPr>
              <w:jc w:val="center"/>
            </w:pPr>
            <w:r>
              <w:rPr>
                <w:rFonts w:ascii="宋体" w:hAnsi="宋体" w:eastAsia="宋体"/>
                <w:sz w:val="16"/>
              </w:rPr>
              <w:t>指标值设定依据</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60B17B">
            <w:pPr>
              <w:jc w:val="center"/>
            </w:pPr>
            <w:r>
              <w:rPr>
                <w:rFonts w:ascii="宋体" w:hAnsi="宋体" w:eastAsia="宋体"/>
                <w:sz w:val="16"/>
              </w:rPr>
              <w:t>上年完成情况</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7B1F253">
            <w:pPr>
              <w:jc w:val="center"/>
            </w:pPr>
            <w:r>
              <w:rPr>
                <w:rFonts w:ascii="宋体" w:hAnsi="宋体" w:eastAsia="宋体"/>
                <w:sz w:val="16"/>
              </w:rPr>
              <w:t>赋分规则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53E004">
            <w:pPr>
              <w:jc w:val="center"/>
            </w:pPr>
            <w:r>
              <w:rPr>
                <w:rFonts w:ascii="宋体" w:hAnsi="宋体" w:eastAsia="宋体"/>
                <w:sz w:val="16"/>
              </w:rPr>
              <w:t>佐证资料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6C1AF5">
            <w:pPr>
              <w:jc w:val="center"/>
            </w:pPr>
            <w:r>
              <w:rPr>
                <w:rFonts w:ascii="宋体" w:hAnsi="宋体" w:eastAsia="宋体"/>
                <w:sz w:val="16"/>
              </w:rPr>
              <w:t>偏差原因分析及改进措施</w:t>
            </w:r>
          </w:p>
        </w:tc>
      </w:tr>
      <w:tr w14:paraId="249E3343">
        <w:tblPrEx>
          <w:tblCellMar>
            <w:top w:w="0" w:type="dxa"/>
            <w:left w:w="108" w:type="dxa"/>
            <w:bottom w:w="0" w:type="dxa"/>
            <w:right w:w="108" w:type="dxa"/>
          </w:tblCellMar>
        </w:tblPrEx>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5765E906">
            <w:pPr>
              <w:jc w:val="center"/>
            </w:pPr>
            <w:r>
              <w:rPr>
                <w:rFonts w:ascii="宋体" w:hAnsi="宋体" w:eastAsia="宋体"/>
                <w:sz w:val="16"/>
              </w:rPr>
              <w:t>年度绩效指标完成情况</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2BB22667">
            <w:pPr>
              <w:jc w:val="center"/>
            </w:pPr>
            <w:r>
              <w:rPr>
                <w:rFonts w:ascii="宋体" w:hAnsi="宋体" w:eastAsia="宋体"/>
                <w:sz w:val="16"/>
              </w:rPr>
              <w:t>产出指标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7D72A8A1">
            <w:pPr>
              <w:jc w:val="center"/>
            </w:pPr>
            <w:r>
              <w:rPr>
                <w:rFonts w:ascii="宋体" w:hAnsi="宋体" w:eastAsia="宋体"/>
                <w:sz w:val="16"/>
              </w:rPr>
              <w:t>数量指标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0F21CA">
            <w:pPr>
              <w:jc w:val="center"/>
            </w:pPr>
            <w:r>
              <w:rPr>
                <w:rFonts w:ascii="宋体" w:hAnsi="宋体" w:eastAsia="宋体"/>
                <w:sz w:val="16"/>
              </w:rPr>
              <w:t>设备购置数量（个）</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10F051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FEB3F3E">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10E0184">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31EA11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644A4D">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D34816">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20894B7">
            <w:pPr>
              <w:jc w:val="center"/>
            </w:pPr>
            <w:r>
              <w:rPr>
                <w:rFonts w:ascii="宋体" w:hAnsi="宋体" w:eastAsia="宋体"/>
                <w:sz w:val="16"/>
              </w:rPr>
              <w:t>1</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6E0BB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126797">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FCE0B2">
            <w:pPr>
              <w:jc w:val="center"/>
            </w:pPr>
          </w:p>
        </w:tc>
      </w:tr>
      <w:tr w14:paraId="66BDD8A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67BA86D"/>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D2B2D2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374138C4"/>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217D23C">
            <w:pPr>
              <w:jc w:val="center"/>
            </w:pPr>
            <w:r>
              <w:rPr>
                <w:rFonts w:ascii="宋体" w:hAnsi="宋体" w:eastAsia="宋体"/>
                <w:sz w:val="16"/>
              </w:rPr>
              <w:t>维修维护</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9DC549">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DE7FC15">
            <w:pPr>
              <w:jc w:val="center"/>
            </w:pPr>
            <w:r>
              <w:rPr>
                <w:rFonts w:ascii="宋体" w:hAnsi="宋体" w:eastAsia="宋体"/>
                <w:sz w:val="16"/>
              </w:rPr>
              <w:t>&lt;=153平方米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2F4CC">
            <w:pPr>
              <w:jc w:val="center"/>
            </w:pPr>
            <w:r>
              <w:rPr>
                <w:rFonts w:ascii="宋体" w:hAnsi="宋体" w:eastAsia="宋体"/>
                <w:sz w:val="16"/>
              </w:rPr>
              <w:t>=153平方米</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97E474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5D555CB">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DA7B59D">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8E4736">
            <w:pPr>
              <w:jc w:val="center"/>
            </w:pPr>
            <w:r>
              <w:rPr>
                <w:rFonts w:ascii="宋体" w:hAnsi="宋体" w:eastAsia="宋体"/>
                <w:sz w:val="16"/>
              </w:rPr>
              <w:t>153</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7D7B2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C113DA9">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C2F8629">
            <w:pPr>
              <w:jc w:val="center"/>
            </w:pPr>
          </w:p>
        </w:tc>
      </w:tr>
      <w:tr w14:paraId="70FE539F">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97CD74"/>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27858095"/>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79B7D52">
            <w:pPr>
              <w:jc w:val="center"/>
            </w:pPr>
            <w:r>
              <w:rPr>
                <w:rFonts w:ascii="宋体" w:hAnsi="宋体" w:eastAsia="宋体"/>
                <w:sz w:val="16"/>
              </w:rPr>
              <w:t>质量指标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B68E96">
            <w:pPr>
              <w:jc w:val="center"/>
            </w:pPr>
            <w:r>
              <w:rPr>
                <w:rFonts w:ascii="宋体" w:hAnsi="宋体" w:eastAsia="宋体"/>
                <w:sz w:val="16"/>
              </w:rPr>
              <w:t>设备验收合格率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F2284FE">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45256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38ECF40">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8AA9F6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1D1161">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5AFCF0E">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638ABC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7D09512">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432DAB">
            <w:pPr>
              <w:jc w:val="center"/>
            </w:pPr>
            <w:r>
              <w:rPr>
                <w:rFonts w:ascii="宋体" w:hAnsi="宋体" w:eastAsia="宋体"/>
                <w:sz w:val="16"/>
              </w:rPr>
              <w:t>工作资料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6E17334">
            <w:pPr>
              <w:jc w:val="center"/>
            </w:pPr>
          </w:p>
        </w:tc>
      </w:tr>
      <w:tr w14:paraId="0ADE8ED6">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E0D2570"/>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AF134F3"/>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752F55F">
            <w:pPr>
              <w:jc w:val="center"/>
            </w:pPr>
            <w:r>
              <w:rPr>
                <w:rFonts w:ascii="宋体" w:hAnsi="宋体" w:eastAsia="宋体"/>
                <w:sz w:val="16"/>
              </w:rPr>
              <w:t>时效指标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519CC35">
            <w:pPr>
              <w:jc w:val="center"/>
            </w:pPr>
            <w:r>
              <w:rPr>
                <w:rFonts w:ascii="宋体" w:hAnsi="宋体" w:eastAsia="宋体"/>
                <w:sz w:val="16"/>
              </w:rPr>
              <w:t>项目完成时间</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085357A">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51BC602">
            <w:pPr>
              <w:jc w:val="center"/>
            </w:pPr>
            <w:r>
              <w:rPr>
                <w:rFonts w:ascii="宋体" w:hAnsi="宋体" w:eastAsia="宋体"/>
                <w:sz w:val="16"/>
              </w:rPr>
              <w:t>=2024.12月7-10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0ACB404">
            <w:pPr>
              <w:jc w:val="center"/>
            </w:pPr>
            <w:r>
              <w:rPr>
                <w:rFonts w:ascii="宋体" w:hAnsi="宋体" w:eastAsia="宋体"/>
                <w:sz w:val="16"/>
              </w:rPr>
              <w:t>2024年12月10日</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D48CB7C">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47238C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AE359F1">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D95E77F">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799A8FB">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D6F761">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305D0CA">
            <w:pPr>
              <w:jc w:val="center"/>
            </w:pPr>
          </w:p>
        </w:tc>
      </w:tr>
      <w:tr w14:paraId="1657920A">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7511C3A3"/>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0415ABA5">
            <w:pPr>
              <w:jc w:val="center"/>
            </w:pPr>
            <w:r>
              <w:rPr>
                <w:rFonts w:ascii="宋体" w:hAnsi="宋体" w:eastAsia="宋体"/>
                <w:sz w:val="16"/>
              </w:rPr>
              <w:t>成本指标</w:t>
            </w:r>
          </w:p>
        </w:tc>
        <w:tc>
          <w:tcPr>
            <w:tcW w:w="632" w:type="dxa"/>
            <w:vMerge w:val="restart"/>
            <w:tcBorders>
              <w:top w:val="single" w:color="auto" w:sz="10" w:space="0"/>
              <w:left w:val="single" w:color="auto" w:sz="10" w:space="0"/>
              <w:bottom w:val="single" w:color="auto" w:sz="10" w:space="0"/>
              <w:right w:val="single" w:color="auto" w:sz="10" w:space="0"/>
              <w:insideV w:val="single" w:sz="10" w:space="0"/>
            </w:tcBorders>
            <w:vAlign w:val="center"/>
          </w:tcPr>
          <w:p w14:paraId="4E688BE3">
            <w:pPr>
              <w:jc w:val="center"/>
            </w:pPr>
            <w:r>
              <w:rPr>
                <w:rFonts w:ascii="宋体" w:hAnsi="宋体" w:eastAsia="宋体"/>
                <w:sz w:val="16"/>
              </w:rPr>
              <w:t>经济成本指标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BD466FC">
            <w:pPr>
              <w:jc w:val="center"/>
            </w:pPr>
            <w:r>
              <w:rPr>
                <w:rFonts w:ascii="宋体" w:hAnsi="宋体" w:eastAsia="宋体"/>
                <w:sz w:val="16"/>
              </w:rPr>
              <w:t>设备费用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C91BC7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EE44A4B">
            <w:pPr>
              <w:jc w:val="center"/>
            </w:pPr>
            <w:r>
              <w:rPr>
                <w:rFonts w:ascii="宋体" w:hAnsi="宋体" w:eastAsia="宋体"/>
                <w:sz w:val="16"/>
              </w:rPr>
              <w:t>&lt;=45100元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FE9EB0E">
            <w:pPr>
              <w:jc w:val="center"/>
            </w:pPr>
            <w:r>
              <w:rPr>
                <w:rFonts w:ascii="宋体" w:hAnsi="宋体" w:eastAsia="宋体"/>
                <w:sz w:val="16"/>
              </w:rPr>
              <w:t>=45100元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432612D">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07EF2EF">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B60BE69">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416A7D">
            <w:pPr>
              <w:jc w:val="center"/>
            </w:pPr>
            <w:r>
              <w:rPr>
                <w:rFonts w:ascii="宋体" w:hAnsi="宋体" w:eastAsia="宋体"/>
                <w:sz w:val="16"/>
              </w:rPr>
              <w:t>45100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671FC93">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EB69645">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A489689">
            <w:pPr>
              <w:jc w:val="center"/>
            </w:pPr>
          </w:p>
        </w:tc>
      </w:tr>
      <w:tr w14:paraId="7A78D4B5">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7B010E6"/>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63656CB5"/>
        </w:tc>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46D49719"/>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7960C69">
            <w:pPr>
              <w:jc w:val="center"/>
            </w:pPr>
            <w:r>
              <w:rPr>
                <w:rFonts w:ascii="宋体" w:hAnsi="宋体" w:eastAsia="宋体"/>
                <w:sz w:val="16"/>
              </w:rPr>
              <w:t>维护费用</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39494D5">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10347AF">
            <w:pPr>
              <w:jc w:val="center"/>
            </w:pPr>
            <w:r>
              <w:rPr>
                <w:rFonts w:ascii="宋体" w:hAnsi="宋体" w:eastAsia="宋体"/>
                <w:sz w:val="16"/>
              </w:rPr>
              <w:t>&lt;=50900元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E1712">
            <w:pPr>
              <w:jc w:val="center"/>
            </w:pPr>
            <w:r>
              <w:rPr>
                <w:rFonts w:ascii="宋体" w:hAnsi="宋体" w:eastAsia="宋体"/>
                <w:sz w:val="16"/>
              </w:rPr>
              <w:t>=50900元</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6D4B5F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C6EF1F3">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4602666">
            <w:pPr>
              <w:jc w:val="center"/>
            </w:pPr>
            <w:r>
              <w:rPr>
                <w:rFonts w:ascii="宋体" w:hAnsi="宋体" w:eastAsia="宋体"/>
                <w:sz w:val="16"/>
              </w:rPr>
              <w:t>预算支出标准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EEDFF1">
            <w:pPr>
              <w:jc w:val="center"/>
            </w:pPr>
            <w:r>
              <w:rPr>
                <w:rFonts w:ascii="宋体" w:hAnsi="宋体" w:eastAsia="宋体"/>
                <w:sz w:val="16"/>
              </w:rPr>
              <w:t>50900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217985C">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46C5684">
            <w:pPr>
              <w:jc w:val="center"/>
            </w:pPr>
            <w:r>
              <w:rPr>
                <w:rFonts w:ascii="宋体" w:hAnsi="宋体" w:eastAsia="宋体"/>
                <w:sz w:val="16"/>
              </w:rPr>
              <w:t>原始凭证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A6EBE6">
            <w:pPr>
              <w:jc w:val="center"/>
            </w:pPr>
          </w:p>
        </w:tc>
      </w:tr>
      <w:tr w14:paraId="13C1DF2E">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136BC7BF"/>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BB99067">
            <w:pPr>
              <w:jc w:val="center"/>
            </w:pPr>
            <w:r>
              <w:rPr>
                <w:rFonts w:ascii="宋体" w:hAnsi="宋体" w:eastAsia="宋体"/>
                <w:sz w:val="16"/>
              </w:rPr>
              <w:t>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D8E444D">
            <w:pPr>
              <w:jc w:val="center"/>
            </w:pPr>
            <w:r>
              <w:rPr>
                <w:rFonts w:ascii="宋体" w:hAnsi="宋体" w:eastAsia="宋体"/>
                <w:sz w:val="16"/>
              </w:rPr>
              <w:t>经济效益指标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C46146">
            <w:pPr>
              <w:jc w:val="center"/>
            </w:pPr>
            <w:r>
              <w:rPr>
                <w:rFonts w:ascii="宋体" w:hAnsi="宋体" w:eastAsia="宋体"/>
                <w:sz w:val="16"/>
              </w:rPr>
              <w:t>保障部门单位运转正常，提高工作效率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BDAA37">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E1E005F">
            <w:pPr>
              <w:jc w:val="center"/>
            </w:pPr>
            <w:r>
              <w:rPr>
                <w:rFonts w:ascii="宋体" w:hAnsi="宋体" w:eastAsia="宋体"/>
                <w:sz w:val="16"/>
              </w:rPr>
              <w:t>保持</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9964983">
            <w:pPr>
              <w:jc w:val="center"/>
            </w:pPr>
            <w:r>
              <w:rPr>
                <w:rFonts w:ascii="宋体" w:hAnsi="宋体" w:eastAsia="宋体"/>
                <w:sz w:val="16"/>
              </w:rPr>
              <w:t>达到预期指标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A4567A">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F3C2442">
            <w:pPr>
              <w:jc w:val="center"/>
            </w:pPr>
            <w:r>
              <w:rPr>
                <w:rFonts w:ascii="宋体" w:hAnsi="宋体" w:eastAsia="宋体"/>
                <w:sz w:val="16"/>
              </w:rPr>
              <w:t>20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2288BD8">
            <w:pPr>
              <w:jc w:val="center"/>
            </w:pPr>
            <w:r>
              <w:rPr>
                <w:rFonts w:ascii="宋体" w:hAnsi="宋体" w:eastAsia="宋体"/>
                <w:sz w:val="16"/>
              </w:rPr>
              <w:t>计划标准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0C54729">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4FCC316F">
            <w:pPr>
              <w:jc w:val="center"/>
            </w:pPr>
            <w:r>
              <w:rPr>
                <w:rFonts w:ascii="宋体" w:hAnsi="宋体" w:eastAsia="宋体"/>
                <w:sz w:val="16"/>
              </w:rPr>
              <w:t>按照完成比例赋分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DFCF9FF">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F23BE2">
            <w:pPr>
              <w:jc w:val="center"/>
            </w:pPr>
          </w:p>
        </w:tc>
      </w:tr>
      <w:tr w14:paraId="2FE7F6BB">
        <w:tblPrEx>
          <w:tblCellMar>
            <w:top w:w="0" w:type="dxa"/>
            <w:left w:w="108" w:type="dxa"/>
            <w:bottom w:w="0" w:type="dxa"/>
            <w:right w:w="108" w:type="dxa"/>
          </w:tblCellMar>
        </w:tblPrEx>
        <w:tc>
          <w:tcPr>
            <w:tcW w:w="632" w:type="dxa"/>
            <w:vMerge w:val="continue"/>
            <w:tcBorders>
              <w:top w:val="single" w:color="auto" w:sz="10" w:space="0"/>
              <w:left w:val="single" w:color="auto" w:sz="10" w:space="0"/>
              <w:bottom w:val="single" w:color="auto" w:sz="10" w:space="0"/>
              <w:right w:val="single" w:color="auto" w:sz="10" w:space="0"/>
              <w:insideV w:val="single" w:sz="10" w:space="0"/>
            </w:tcBorders>
          </w:tcPr>
          <w:p w14:paraId="56449E7C"/>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90C72B9">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19D94FB">
            <w:pPr>
              <w:jc w:val="center"/>
            </w:pPr>
            <w:r>
              <w:rPr>
                <w:rFonts w:ascii="宋体" w:hAnsi="宋体" w:eastAsia="宋体"/>
                <w:sz w:val="16"/>
              </w:rPr>
              <w:t>满意度指标</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7315835F">
            <w:pPr>
              <w:jc w:val="center"/>
            </w:pPr>
            <w:r>
              <w:rPr>
                <w:rFonts w:ascii="宋体" w:hAnsi="宋体" w:eastAsia="宋体"/>
                <w:sz w:val="16"/>
              </w:rPr>
              <w:t>工作人员满意度</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50540A2">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BD198E6">
            <w:pPr>
              <w:jc w:val="center"/>
            </w:pPr>
            <w:r>
              <w:rPr>
                <w:rFonts w:ascii="宋体" w:hAnsi="宋体" w:eastAsia="宋体"/>
                <w:sz w:val="16"/>
              </w:rPr>
              <w:t>&gt;95%</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6B67137">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2B8408BE">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E5AE5F0">
            <w:pPr>
              <w:jc w:val="center"/>
            </w:pPr>
            <w:r>
              <w:rPr>
                <w:rFonts w:ascii="宋体" w:hAnsi="宋体" w:eastAsia="宋体"/>
                <w:sz w:val="16"/>
              </w:rPr>
              <w:t>10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3DAA628">
            <w:pPr>
              <w:jc w:val="center"/>
            </w:pPr>
            <w:r>
              <w:rPr>
                <w:rFonts w:ascii="宋体" w:hAnsi="宋体" w:eastAsia="宋体"/>
                <w:sz w:val="16"/>
              </w:rPr>
              <w:t>其他标准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4E93753">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1817FEFB">
            <w:pPr>
              <w:jc w:val="center"/>
            </w:pPr>
            <w:r>
              <w:rPr>
                <w:rFonts w:ascii="宋体" w:hAnsi="宋体" w:eastAsia="宋体"/>
                <w:sz w:val="16"/>
              </w:rPr>
              <w:t>满意度赋分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34738B1A">
            <w:pPr>
              <w:jc w:val="center"/>
            </w:pPr>
            <w:r>
              <w:rPr>
                <w:rFonts w:ascii="宋体" w:hAnsi="宋体" w:eastAsia="宋体"/>
                <w:sz w:val="16"/>
              </w:rPr>
              <w:t>说明材料</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6D513EA3">
            <w:pPr>
              <w:jc w:val="center"/>
            </w:pPr>
          </w:p>
        </w:tc>
      </w:tr>
      <w:tr w14:paraId="7DE59CEC">
        <w:tblPrEx>
          <w:tblCellMar>
            <w:top w:w="0" w:type="dxa"/>
            <w:left w:w="108" w:type="dxa"/>
            <w:bottom w:w="0" w:type="dxa"/>
            <w:right w:w="108" w:type="dxa"/>
          </w:tblCellMar>
        </w:tblPrEx>
        <w:tc>
          <w:tcPr>
            <w:tcW w:w="2528" w:type="dxa"/>
            <w:gridSpan w:val="4"/>
            <w:tcBorders>
              <w:top w:val="single" w:color="auto" w:sz="10" w:space="0"/>
              <w:left w:val="single" w:color="auto" w:sz="10" w:space="0"/>
              <w:bottom w:val="single" w:color="auto" w:sz="10" w:space="0"/>
              <w:right w:val="single" w:color="auto" w:sz="10" w:space="0"/>
              <w:insideV w:val="single" w:sz="10" w:space="0"/>
            </w:tcBorders>
            <w:vAlign w:val="center"/>
          </w:tcPr>
          <w:p w14:paraId="5969307B">
            <w:pPr>
              <w:jc w:val="center"/>
            </w:pPr>
            <w:r>
              <w:rPr>
                <w:rFonts w:ascii="宋体" w:hAnsi="宋体" w:eastAsia="宋体"/>
                <w:sz w:val="16"/>
              </w:rPr>
              <w:t>总分</w:t>
            </w:r>
          </w:p>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007FA6D2">
            <w:pPr>
              <w:jc w:val="center"/>
            </w:pPr>
            <w:r>
              <w:rPr>
                <w:rFonts w:ascii="宋体" w:hAnsi="宋体" w:eastAsia="宋体"/>
                <w:sz w:val="16"/>
              </w:rPr>
              <w:t>100</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B8BD1A"/>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B39358C"/>
        </w:tc>
        <w:tc>
          <w:tcPr>
            <w:tcW w:w="632" w:type="dxa"/>
            <w:tcBorders>
              <w:top w:val="single" w:color="auto" w:sz="10" w:space="0"/>
              <w:left w:val="single" w:color="auto" w:sz="10" w:space="0"/>
              <w:bottom w:val="single" w:color="auto" w:sz="10" w:space="0"/>
              <w:right w:val="single" w:color="auto" w:sz="10" w:space="0"/>
              <w:insideV w:val="single" w:sz="10" w:space="0"/>
            </w:tcBorders>
          </w:tcPr>
          <w:p w14:paraId="4DDE21B7"/>
        </w:tc>
        <w:tc>
          <w:tcPr>
            <w:tcW w:w="632" w:type="dxa"/>
            <w:tcBorders>
              <w:top w:val="single" w:color="auto" w:sz="10" w:space="0"/>
              <w:left w:val="single" w:color="auto" w:sz="10" w:space="0"/>
              <w:bottom w:val="single" w:color="auto" w:sz="10" w:space="0"/>
              <w:right w:val="single" w:color="auto" w:sz="10" w:space="0"/>
              <w:insideV w:val="single" w:sz="10" w:space="0"/>
            </w:tcBorders>
            <w:vAlign w:val="center"/>
          </w:tcPr>
          <w:p w14:paraId="5909A678">
            <w:pPr>
              <w:jc w:val="center"/>
            </w:pPr>
            <w:r>
              <w:rPr>
                <w:rFonts w:ascii="宋体" w:hAnsi="宋体" w:eastAsia="宋体"/>
                <w:sz w:val="16"/>
              </w:rPr>
              <w:t>100.00分</w:t>
            </w:r>
          </w:p>
        </w:tc>
        <w:tc>
          <w:tcPr>
            <w:tcW w:w="632" w:type="dxa"/>
            <w:tcBorders>
              <w:top w:val="single" w:color="auto" w:sz="10" w:space="0"/>
              <w:left w:val="single" w:color="auto" w:sz="10" w:space="0"/>
              <w:bottom w:val="single" w:color="auto" w:sz="10" w:space="0"/>
              <w:right w:val="single" w:color="auto" w:sz="10" w:space="0"/>
              <w:insideV w:val="single" w:sz="10" w:space="0"/>
            </w:tcBorders>
          </w:tcPr>
          <w:p w14:paraId="1CB52B3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8F1D2B3"/>
        </w:tc>
        <w:tc>
          <w:tcPr>
            <w:tcW w:w="632" w:type="dxa"/>
            <w:tcBorders>
              <w:top w:val="single" w:color="auto" w:sz="10" w:space="0"/>
              <w:left w:val="single" w:color="auto" w:sz="10" w:space="0"/>
              <w:bottom w:val="single" w:color="auto" w:sz="10" w:space="0"/>
              <w:right w:val="single" w:color="auto" w:sz="10" w:space="0"/>
              <w:insideV w:val="single" w:sz="10" w:space="0"/>
            </w:tcBorders>
          </w:tcPr>
          <w:p w14:paraId="35D5386B"/>
        </w:tc>
        <w:tc>
          <w:tcPr>
            <w:tcW w:w="632" w:type="dxa"/>
            <w:tcBorders>
              <w:top w:val="single" w:color="auto" w:sz="10" w:space="0"/>
              <w:left w:val="single" w:color="auto" w:sz="10" w:space="0"/>
              <w:bottom w:val="single" w:color="auto" w:sz="10" w:space="0"/>
              <w:right w:val="single" w:color="auto" w:sz="10" w:space="0"/>
              <w:insideV w:val="single" w:sz="10" w:space="0"/>
            </w:tcBorders>
          </w:tcPr>
          <w:p w14:paraId="6B141C76"/>
        </w:tc>
        <w:tc>
          <w:tcPr>
            <w:tcW w:w="632" w:type="dxa"/>
            <w:tcBorders>
              <w:top w:val="single" w:color="auto" w:sz="10" w:space="0"/>
              <w:left w:val="single" w:color="auto" w:sz="10" w:space="0"/>
              <w:bottom w:val="single" w:color="auto" w:sz="10" w:space="0"/>
              <w:right w:val="single" w:color="auto" w:sz="10" w:space="0"/>
              <w:insideV w:val="single" w:sz="10" w:space="0"/>
            </w:tcBorders>
          </w:tcPr>
          <w:p w14:paraId="0A1AC5A1"/>
        </w:tc>
      </w:tr>
    </w:tbl>
    <w:p w14:paraId="23577FE7">
      <w:r>
        <w:br w:type="page"/>
      </w:r>
    </w:p>
    <w:p w14:paraId="72EA1208">
      <w:pPr>
        <w:spacing w:line="640" w:lineRule="exact"/>
        <w:ind w:firstLine="640"/>
        <w:jc w:val="both"/>
        <w:outlineLvl w:val="2"/>
      </w:pPr>
      <w:r>
        <w:rPr>
          <w:rFonts w:ascii="黑体" w:hAnsi="黑体" w:eastAsia="黑体"/>
          <w:sz w:val="32"/>
        </w:rPr>
        <w:t>十二、其他需说明的事项</w:t>
      </w:r>
    </w:p>
    <w:p w14:paraId="4F217FCB">
      <w:pPr>
        <w:spacing w:line="580" w:lineRule="exact"/>
        <w:ind w:firstLine="640"/>
        <w:jc w:val="both"/>
      </w:pPr>
      <w:r>
        <w:rPr>
          <w:rFonts w:ascii="仿宋_GB2312" w:hAnsi="仿宋_GB2312" w:eastAsia="仿宋_GB2312"/>
          <w:b w:val="0"/>
          <w:sz w:val="32"/>
        </w:rPr>
        <w:t>本年本单位SM项目1个，全年预算数183.00万元，全年执行数183.00万元。</w:t>
      </w:r>
    </w:p>
    <w:p w14:paraId="3B7B1799">
      <w:r>
        <w:br w:type="page"/>
      </w:r>
    </w:p>
    <w:p w14:paraId="162D959D">
      <w:pPr>
        <w:spacing w:line="240" w:lineRule="auto"/>
        <w:jc w:val="center"/>
        <w:outlineLvl w:val="1"/>
      </w:pPr>
      <w:r>
        <w:rPr>
          <w:rFonts w:ascii="黑体" w:hAnsi="黑体" w:eastAsia="黑体"/>
          <w:sz w:val="32"/>
        </w:rPr>
        <w:t>第三部分 专业名词解释</w:t>
      </w:r>
    </w:p>
    <w:p w14:paraId="10C30752">
      <w:pPr>
        <w:spacing w:line="240" w:lineRule="auto"/>
        <w:ind w:firstLine="640"/>
        <w:jc w:val="both"/>
      </w:pPr>
      <w:r>
        <w:rPr>
          <w:rFonts w:ascii="仿宋_GB2312" w:hAnsi="仿宋_GB2312" w:eastAsia="仿宋_GB2312"/>
          <w:b/>
          <w:sz w:val="32"/>
        </w:rPr>
        <w:t>一、财政拨款收入：</w:t>
      </w:r>
      <w:r>
        <w:rPr>
          <w:rFonts w:ascii="仿宋_GB2312" w:hAnsi="仿宋_GB2312" w:eastAsia="仿宋_GB2312"/>
          <w:b w:val="0"/>
          <w:sz w:val="32"/>
        </w:rPr>
        <w:t>指同级财政当年拨付的资金。</w:t>
      </w:r>
    </w:p>
    <w:p w14:paraId="371E1DFE">
      <w:pPr>
        <w:spacing w:line="240" w:lineRule="auto"/>
        <w:ind w:firstLine="640"/>
        <w:jc w:val="both"/>
      </w:pPr>
      <w:r>
        <w:rPr>
          <w:rFonts w:ascii="仿宋_GB2312" w:hAnsi="仿宋_GB2312" w:eastAsia="仿宋_GB2312"/>
          <w:b/>
          <w:sz w:val="32"/>
        </w:rPr>
        <w:t>二、上级补助收入：</w:t>
      </w:r>
      <w:r>
        <w:rPr>
          <w:rFonts w:ascii="仿宋_GB2312" w:hAnsi="仿宋_GB2312" w:eastAsia="仿宋_GB2312"/>
          <w:b w:val="0"/>
          <w:sz w:val="32"/>
        </w:rPr>
        <w:t>指事业单位从主管部门和上级单位取得的非财政补助收入。</w:t>
      </w:r>
    </w:p>
    <w:p w14:paraId="5F285CF0">
      <w:pPr>
        <w:spacing w:line="240" w:lineRule="auto"/>
        <w:ind w:firstLine="640"/>
        <w:jc w:val="both"/>
      </w:pPr>
      <w:r>
        <w:rPr>
          <w:rFonts w:ascii="仿宋_GB2312" w:hAnsi="仿宋_GB2312" w:eastAsia="仿宋_GB2312"/>
          <w:b/>
          <w:sz w:val="32"/>
        </w:rPr>
        <w:t>三、事业收入：</w:t>
      </w:r>
      <w:r>
        <w:rPr>
          <w:rFonts w:ascii="仿宋_GB2312" w:hAnsi="仿宋_GB2312" w:eastAsia="仿宋_GB2312"/>
          <w:b w:val="0"/>
          <w:sz w:val="32"/>
        </w:rPr>
        <w:t>指事业单位开展专业业务活动及其辅助活动所取得的收入。</w:t>
      </w:r>
    </w:p>
    <w:p w14:paraId="55E521E4">
      <w:pPr>
        <w:spacing w:line="240" w:lineRule="auto"/>
        <w:ind w:firstLine="640"/>
        <w:jc w:val="both"/>
      </w:pPr>
      <w:r>
        <w:rPr>
          <w:rFonts w:ascii="仿宋_GB2312" w:hAnsi="仿宋_GB2312" w:eastAsia="仿宋_GB2312"/>
          <w:b/>
          <w:sz w:val="32"/>
        </w:rPr>
        <w:t>四、经营收入：</w:t>
      </w:r>
      <w:r>
        <w:rPr>
          <w:rFonts w:ascii="仿宋_GB2312" w:hAnsi="仿宋_GB2312" w:eastAsia="仿宋_GB2312"/>
          <w:b w:val="0"/>
          <w:sz w:val="32"/>
        </w:rPr>
        <w:t>指事业单位在专业业务活动及其辅助活动之外开展非独立核算经营活动取得的收入。</w:t>
      </w:r>
    </w:p>
    <w:p w14:paraId="0FE328CA">
      <w:pPr>
        <w:spacing w:line="240" w:lineRule="auto"/>
        <w:ind w:firstLine="640"/>
        <w:jc w:val="both"/>
      </w:pPr>
      <w:r>
        <w:rPr>
          <w:rFonts w:ascii="仿宋_GB2312" w:hAnsi="仿宋_GB2312" w:eastAsia="仿宋_GB2312"/>
          <w:b/>
          <w:sz w:val="32"/>
        </w:rPr>
        <w:t>五、附属单位上缴收入：</w:t>
      </w:r>
      <w:r>
        <w:rPr>
          <w:rFonts w:ascii="仿宋_GB2312" w:hAnsi="仿宋_GB2312" w:eastAsia="仿宋_GB2312"/>
          <w:b w:val="0"/>
          <w:sz w:val="32"/>
        </w:rPr>
        <w:t>指事业单位附属的独立核算单位按有关规定上缴的收入。</w:t>
      </w:r>
    </w:p>
    <w:p w14:paraId="6289F1B8">
      <w:pPr>
        <w:spacing w:line="240" w:lineRule="auto"/>
        <w:ind w:firstLine="640"/>
        <w:jc w:val="both"/>
      </w:pPr>
      <w:r>
        <w:rPr>
          <w:rFonts w:ascii="仿宋_GB2312" w:hAnsi="仿宋_GB2312" w:eastAsia="仿宋_GB2312"/>
          <w:b/>
          <w:sz w:val="32"/>
        </w:rPr>
        <w:t>六、其他收入：</w:t>
      </w:r>
      <w:r>
        <w:rPr>
          <w:rFonts w:ascii="仿宋_GB2312" w:hAnsi="仿宋_GB2312" w:eastAsia="仿宋_GB2312"/>
          <w:b w:val="0"/>
          <w:sz w:val="32"/>
        </w:rPr>
        <w:t>指除上述“财政拨款收入”、“事业收入”、“经营收入”、“附属单位上缴收入”等之外取得的收入。</w:t>
      </w:r>
    </w:p>
    <w:p w14:paraId="6D96C39E">
      <w:pPr>
        <w:spacing w:line="240" w:lineRule="auto"/>
        <w:ind w:firstLine="640"/>
        <w:jc w:val="both"/>
      </w:pPr>
      <w:r>
        <w:rPr>
          <w:rFonts w:ascii="仿宋_GB2312" w:hAnsi="仿宋_GB2312" w:eastAsia="仿宋_GB2312"/>
          <w:b/>
          <w:sz w:val="32"/>
        </w:rPr>
        <w:t>七、年初结转和结余：</w:t>
      </w:r>
      <w:r>
        <w:rPr>
          <w:rFonts w:ascii="仿宋_GB2312" w:hAnsi="仿宋_GB2312" w:eastAsia="仿宋_GB2312"/>
          <w:b w:val="0"/>
          <w:sz w:val="32"/>
        </w:rPr>
        <w:t>指以前年度支出预算因客观条件变化未执行完毕、结转到本年度按有关规定继续使用的资金，既包括财政拨款结转和结余，也包括事业收入、经营收入、其他收入的结转和结余。</w:t>
      </w:r>
    </w:p>
    <w:p w14:paraId="5D8E8236">
      <w:pPr>
        <w:spacing w:line="240" w:lineRule="auto"/>
        <w:ind w:firstLine="640"/>
        <w:jc w:val="both"/>
      </w:pPr>
      <w:r>
        <w:rPr>
          <w:rFonts w:ascii="仿宋_GB2312" w:hAnsi="仿宋_GB2312" w:eastAsia="仿宋_GB2312"/>
          <w:b/>
          <w:sz w:val="32"/>
        </w:rPr>
        <w:t>八、年末结转和结余：</w:t>
      </w:r>
      <w:r>
        <w:rPr>
          <w:rFonts w:ascii="仿宋_GB2312" w:hAnsi="仿宋_GB2312" w:eastAsia="仿宋_GB2312"/>
          <w:b w:val="0"/>
          <w:sz w:val="32"/>
        </w:rPr>
        <w:t>指本年度或以前年度预算安排、因客观条件发生变化无法按原计划实施，需要延迟到以后年度按有关规定继续使用的资金，既包括财政拨款结转和结余，也包括事业收入、经营收入、其他收入的结转和结余。</w:t>
      </w:r>
    </w:p>
    <w:p w14:paraId="54F40C4E">
      <w:pPr>
        <w:spacing w:line="240" w:lineRule="auto"/>
        <w:ind w:firstLine="640"/>
        <w:jc w:val="both"/>
      </w:pPr>
      <w:r>
        <w:rPr>
          <w:rFonts w:ascii="仿宋_GB2312" w:hAnsi="仿宋_GB2312" w:eastAsia="仿宋_GB2312"/>
          <w:b/>
          <w:sz w:val="32"/>
        </w:rPr>
        <w:t>九、基本支出：</w:t>
      </w:r>
      <w:r>
        <w:rPr>
          <w:rFonts w:ascii="仿宋_GB2312" w:hAnsi="仿宋_GB2312" w:eastAsia="仿宋_GB2312"/>
          <w:b w:val="0"/>
          <w:sz w:val="32"/>
        </w:rPr>
        <w:t>指为保障机构正常运转、完成日常工作任务而发生的人员支出和公用支出。</w:t>
      </w:r>
    </w:p>
    <w:p w14:paraId="6F224D31">
      <w:pPr>
        <w:spacing w:line="240" w:lineRule="auto"/>
        <w:ind w:firstLine="640"/>
        <w:jc w:val="both"/>
      </w:pPr>
      <w:r>
        <w:rPr>
          <w:rFonts w:ascii="仿宋_GB2312" w:hAnsi="仿宋_GB2312" w:eastAsia="仿宋_GB2312"/>
          <w:b/>
          <w:sz w:val="32"/>
        </w:rPr>
        <w:t>十、项目支出：</w:t>
      </w:r>
      <w:r>
        <w:rPr>
          <w:rFonts w:ascii="仿宋_GB2312" w:hAnsi="仿宋_GB2312" w:eastAsia="仿宋_GB2312"/>
          <w:b w:val="0"/>
          <w:sz w:val="32"/>
        </w:rPr>
        <w:t>指在基本支出之外为完成特定行政任务和事业发展目标所发生的支出。</w:t>
      </w:r>
    </w:p>
    <w:p w14:paraId="6C1526B3">
      <w:pPr>
        <w:spacing w:line="240" w:lineRule="auto"/>
        <w:ind w:firstLine="640"/>
        <w:jc w:val="both"/>
      </w:pPr>
      <w:r>
        <w:rPr>
          <w:rFonts w:ascii="仿宋_GB2312" w:hAnsi="仿宋_GB2312" w:eastAsia="仿宋_GB2312"/>
          <w:b/>
          <w:sz w:val="32"/>
        </w:rPr>
        <w:t>十一、经营支出：</w:t>
      </w:r>
      <w:r>
        <w:rPr>
          <w:rFonts w:ascii="仿宋_GB2312" w:hAnsi="仿宋_GB2312" w:eastAsia="仿宋_GB2312"/>
          <w:b w:val="0"/>
          <w:sz w:val="32"/>
        </w:rPr>
        <w:t>指事业单位在专业业务活动及其辅助活动之外开展非独立核算经营活动发生的支出。</w:t>
      </w:r>
    </w:p>
    <w:p w14:paraId="7A20E11F">
      <w:pPr>
        <w:spacing w:line="240" w:lineRule="auto"/>
        <w:ind w:firstLine="640"/>
        <w:jc w:val="both"/>
      </w:pPr>
      <w:r>
        <w:rPr>
          <w:rFonts w:ascii="仿宋_GB2312" w:hAnsi="仿宋_GB2312" w:eastAsia="仿宋_GB2312"/>
          <w:b/>
          <w:sz w:val="32"/>
        </w:rPr>
        <w:t>十二、对附属单位补助支出：</w:t>
      </w:r>
      <w:r>
        <w:rPr>
          <w:rFonts w:ascii="仿宋_GB2312" w:hAnsi="仿宋_GB2312" w:eastAsia="仿宋_GB2312"/>
          <w:b w:val="0"/>
          <w:sz w:val="32"/>
        </w:rPr>
        <w:t>指事业单位发生的用非财政预算资金对附属单位的补助支出。</w:t>
      </w:r>
    </w:p>
    <w:p w14:paraId="1ED6E666">
      <w:pPr>
        <w:spacing w:line="240" w:lineRule="auto"/>
        <w:ind w:firstLine="640"/>
        <w:jc w:val="both"/>
      </w:pPr>
      <w:r>
        <w:rPr>
          <w:rFonts w:ascii="仿宋_GB2312" w:hAnsi="仿宋_GB2312" w:eastAsia="仿宋_GB2312"/>
          <w:b/>
          <w:sz w:val="32"/>
        </w:rPr>
        <w:t>十三、“三公”经费：</w:t>
      </w:r>
      <w:r>
        <w:rPr>
          <w:rFonts w:ascii="仿宋_GB2312" w:hAnsi="仿宋_GB2312" w:eastAsia="仿宋_GB2312"/>
          <w:b w:val="0"/>
          <w:sz w:val="32"/>
        </w:rPr>
        <w:t>指用财政拨款安排的因公出国（境）费、公务用车购置及运行费和公务接待费。其中，因公出国（境）费反映单位公务出国（境）的国际旅费、国外城市间交通费、住宿费、伙食费、培训费、公杂费等支出；公务用车购置反映公务用车购置支出（含车辆购置税、牌照费）；公务用车运行维护费反映单位按规定保留的公务用车燃料费、维修费、过路过桥费、保险费、安全奖励费用等支出；公务接待费反映单位按规定开支的各类公务接待（含外宾接待）费用。</w:t>
      </w:r>
    </w:p>
    <w:p w14:paraId="1EF039BF">
      <w:pPr>
        <w:spacing w:line="240" w:lineRule="auto"/>
        <w:ind w:firstLine="640"/>
        <w:jc w:val="both"/>
      </w:pPr>
      <w:r>
        <w:rPr>
          <w:rFonts w:ascii="仿宋_GB2312" w:hAnsi="仿宋_GB2312" w:eastAsia="仿宋_GB2312"/>
          <w:b/>
          <w:sz w:val="32"/>
        </w:rPr>
        <w:t>十四、机关运行经费：</w:t>
      </w:r>
      <w:r>
        <w:rPr>
          <w:rFonts w:ascii="仿宋_GB2312" w:hAnsi="仿宋_GB2312" w:eastAsia="仿宋_GB2312"/>
          <w:b w:val="0"/>
          <w:sz w:val="32"/>
        </w:rPr>
        <w:t>行政单位和参照公务员法管理的事业单位财政拨款基本支出中的公用经费支出。</w:t>
      </w:r>
    </w:p>
    <w:p w14:paraId="6FF085BD">
      <w:r>
        <w:br w:type="page"/>
      </w:r>
    </w:p>
    <w:p w14:paraId="3DEAF636">
      <w:pPr>
        <w:spacing w:line="240" w:lineRule="auto"/>
        <w:jc w:val="center"/>
        <w:outlineLvl w:val="1"/>
      </w:pPr>
      <w:r>
        <w:rPr>
          <w:rFonts w:ascii="黑体" w:hAnsi="黑体" w:eastAsia="黑体"/>
          <w:sz w:val="32"/>
        </w:rPr>
        <w:t>第四部分 部门决算报表（见附表）</w:t>
      </w:r>
    </w:p>
    <w:p w14:paraId="080B1941">
      <w:pPr>
        <w:spacing w:line="240" w:lineRule="auto"/>
        <w:ind w:firstLine="640"/>
        <w:jc w:val="both"/>
      </w:pPr>
      <w:r>
        <w:rPr>
          <w:rFonts w:ascii="仿宋_GB2312" w:hAnsi="仿宋_GB2312" w:eastAsia="仿宋_GB2312"/>
          <w:b w:val="0"/>
          <w:sz w:val="32"/>
        </w:rPr>
        <w:t>一、《收入支出决算总表》</w:t>
      </w:r>
    </w:p>
    <w:p w14:paraId="6CD7DBF6">
      <w:pPr>
        <w:spacing w:line="240" w:lineRule="auto"/>
        <w:ind w:firstLine="640"/>
        <w:jc w:val="both"/>
      </w:pPr>
      <w:r>
        <w:rPr>
          <w:rFonts w:ascii="仿宋_GB2312" w:hAnsi="仿宋_GB2312" w:eastAsia="仿宋_GB2312"/>
          <w:b w:val="0"/>
          <w:sz w:val="32"/>
        </w:rPr>
        <w:t>二、《收入决算表》</w:t>
      </w:r>
    </w:p>
    <w:p w14:paraId="496AB3D1">
      <w:pPr>
        <w:spacing w:line="240" w:lineRule="auto"/>
        <w:ind w:firstLine="640"/>
        <w:jc w:val="both"/>
      </w:pPr>
      <w:r>
        <w:rPr>
          <w:rFonts w:ascii="仿宋_GB2312" w:hAnsi="仿宋_GB2312" w:eastAsia="仿宋_GB2312"/>
          <w:b w:val="0"/>
          <w:sz w:val="32"/>
        </w:rPr>
        <w:t>三、《支出决算表》</w:t>
      </w:r>
    </w:p>
    <w:p w14:paraId="247F21D3">
      <w:pPr>
        <w:spacing w:line="240" w:lineRule="auto"/>
        <w:ind w:firstLine="640"/>
        <w:jc w:val="both"/>
      </w:pPr>
      <w:r>
        <w:rPr>
          <w:rFonts w:ascii="仿宋_GB2312" w:hAnsi="仿宋_GB2312" w:eastAsia="仿宋_GB2312"/>
          <w:b w:val="0"/>
          <w:sz w:val="32"/>
        </w:rPr>
        <w:t>四、《财政拨款收入支出决算总表》</w:t>
      </w:r>
    </w:p>
    <w:p w14:paraId="4D4170ED">
      <w:pPr>
        <w:spacing w:line="240" w:lineRule="auto"/>
        <w:ind w:firstLine="640"/>
        <w:jc w:val="both"/>
      </w:pPr>
      <w:r>
        <w:rPr>
          <w:rFonts w:ascii="仿宋_GB2312" w:hAnsi="仿宋_GB2312" w:eastAsia="仿宋_GB2312"/>
          <w:b w:val="0"/>
          <w:sz w:val="32"/>
        </w:rPr>
        <w:t>五、《一般公共预算财政拨款支出决算表》</w:t>
      </w:r>
    </w:p>
    <w:p w14:paraId="223D9A79">
      <w:pPr>
        <w:spacing w:line="240" w:lineRule="auto"/>
        <w:ind w:firstLine="640"/>
        <w:jc w:val="both"/>
      </w:pPr>
      <w:r>
        <w:rPr>
          <w:rFonts w:ascii="仿宋_GB2312" w:hAnsi="仿宋_GB2312" w:eastAsia="仿宋_GB2312"/>
          <w:b w:val="0"/>
          <w:sz w:val="32"/>
        </w:rPr>
        <w:t>六、《一般公共预算财政拨款基本支出决算表》</w:t>
      </w:r>
    </w:p>
    <w:p w14:paraId="7560DA27">
      <w:pPr>
        <w:spacing w:line="240" w:lineRule="auto"/>
        <w:ind w:firstLine="640"/>
        <w:jc w:val="both"/>
      </w:pPr>
      <w:r>
        <w:rPr>
          <w:rFonts w:ascii="仿宋_GB2312" w:hAnsi="仿宋_GB2312" w:eastAsia="仿宋_GB2312"/>
          <w:b w:val="0"/>
          <w:sz w:val="32"/>
        </w:rPr>
        <w:t>七、《政府性基金预算财政拨款收入支出决算表》</w:t>
      </w:r>
    </w:p>
    <w:p w14:paraId="3A343102">
      <w:pPr>
        <w:spacing w:line="240" w:lineRule="auto"/>
        <w:ind w:firstLine="640"/>
        <w:jc w:val="both"/>
      </w:pPr>
      <w:r>
        <w:rPr>
          <w:rFonts w:ascii="仿宋_GB2312" w:hAnsi="仿宋_GB2312" w:eastAsia="仿宋_GB2312"/>
          <w:b w:val="0"/>
          <w:sz w:val="32"/>
        </w:rPr>
        <w:t>八、《国有资本经营预算财政拨款收入支出决算表》</w:t>
      </w:r>
    </w:p>
    <w:p w14:paraId="7AC47EB0">
      <w:pPr>
        <w:spacing w:line="240" w:lineRule="auto"/>
        <w:ind w:firstLine="640"/>
        <w:jc w:val="both"/>
      </w:pPr>
      <w:r>
        <w:rPr>
          <w:rFonts w:ascii="仿宋_GB2312" w:hAnsi="仿宋_GB2312" w:eastAsia="仿宋_GB2312"/>
          <w:b w:val="0"/>
          <w:sz w:val="32"/>
        </w:rPr>
        <w:t>九、《财政拨款“三公”经费支出决算表》</w:t>
      </w:r>
    </w:p>
    <w:p w14:paraId="6D36F0A3">
      <w:pPr>
        <w:spacing w:line="240" w:lineRule="auto"/>
        <w:ind w:firstLine="640"/>
        <w:jc w:val="both"/>
      </w:pPr>
    </w:p>
    <w:p w14:paraId="67B66F1A">
      <w:pPr>
        <w:spacing w:line="240" w:lineRule="auto"/>
        <w:ind w:firstLine="640"/>
        <w:jc w:val="both"/>
      </w:pPr>
    </w:p>
    <w:p w14:paraId="25126FDC">
      <w:pPr>
        <w:spacing w:line="240" w:lineRule="auto"/>
        <w:ind w:firstLine="640"/>
        <w:jc w:val="both"/>
      </w:pPr>
    </w:p>
    <w:p w14:paraId="6A66C0AF">
      <w:pPr>
        <w:spacing w:line="240" w:lineRule="auto"/>
        <w:ind w:firstLine="640"/>
        <w:jc w:val="both"/>
      </w:pPr>
    </w:p>
    <w:p w14:paraId="23E45008">
      <w:pPr>
        <w:spacing w:line="240" w:lineRule="auto"/>
        <w:ind w:firstLine="640"/>
        <w:jc w:val="both"/>
      </w:pPr>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11686AD3-899B-4A0C-A66C-7076BCC9C50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2000000000000000000"/>
    <w:charset w:val="86"/>
    <w:family w:val="script"/>
    <w:pitch w:val="default"/>
    <w:sig w:usb0="A00002BF" w:usb1="38CF7CFA" w:usb2="00082016" w:usb3="00000000" w:csb0="00040001" w:csb1="00000000"/>
    <w:embedRegular r:id="rId2" w:fontKey="{15B73D40-E0FE-41A6-B0C1-1A80C4A19492}"/>
  </w:font>
  <w:font w:name="仿宋_GB2312">
    <w:altName w:val="仿宋"/>
    <w:panose1 w:val="02010609030101010101"/>
    <w:charset w:val="86"/>
    <w:family w:val="modern"/>
    <w:pitch w:val="default"/>
    <w:sig w:usb0="00000000" w:usb1="00000000" w:usb2="00000000" w:usb3="00000000" w:csb0="00040000" w:csb1="00000000"/>
    <w:embedRegular r:id="rId3" w:fontKey="{AF59320C-B0A2-4488-96F4-6B4FD793525B}"/>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embedRegular r:id="rId4" w:fontKey="{038077BA-4412-4F83-954C-9210941758AB}"/>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CF23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6895DB72">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AwYmRmZTlkODBlYWI2MWEzOGMyNWRlOTFmY2QzMTQifQ=="/>
  </w:docVars>
  <w:rsids>
    <w:rsidRoot w:val="00000000"/>
    <w:rsid w:val="021B7195"/>
    <w:rsid w:val="02F73D26"/>
    <w:rsid w:val="034D4FEF"/>
    <w:rsid w:val="043E5B56"/>
    <w:rsid w:val="06792773"/>
    <w:rsid w:val="09A729D8"/>
    <w:rsid w:val="0A3C58E8"/>
    <w:rsid w:val="0A7B4867"/>
    <w:rsid w:val="0B8C3ECC"/>
    <w:rsid w:val="0C3613A3"/>
    <w:rsid w:val="0C7227A7"/>
    <w:rsid w:val="0DCA6EF7"/>
    <w:rsid w:val="0E4B1576"/>
    <w:rsid w:val="0EA04331"/>
    <w:rsid w:val="0F9811B3"/>
    <w:rsid w:val="11E15093"/>
    <w:rsid w:val="120E0809"/>
    <w:rsid w:val="19071D6C"/>
    <w:rsid w:val="19B5554D"/>
    <w:rsid w:val="1B8F2D19"/>
    <w:rsid w:val="1C317E4F"/>
    <w:rsid w:val="1C472464"/>
    <w:rsid w:val="1DAF458D"/>
    <w:rsid w:val="1E086ACE"/>
    <w:rsid w:val="1E4B5CA5"/>
    <w:rsid w:val="1EAA4A5F"/>
    <w:rsid w:val="1F587A0B"/>
    <w:rsid w:val="2064678E"/>
    <w:rsid w:val="20BC0B75"/>
    <w:rsid w:val="20DD6197"/>
    <w:rsid w:val="21F317F2"/>
    <w:rsid w:val="2241392C"/>
    <w:rsid w:val="23BC04D2"/>
    <w:rsid w:val="25275618"/>
    <w:rsid w:val="27CE017C"/>
    <w:rsid w:val="27CF2642"/>
    <w:rsid w:val="282459E2"/>
    <w:rsid w:val="29116777"/>
    <w:rsid w:val="29495BDC"/>
    <w:rsid w:val="2A053397"/>
    <w:rsid w:val="2A444FB1"/>
    <w:rsid w:val="2A6064E2"/>
    <w:rsid w:val="2C1965E9"/>
    <w:rsid w:val="2D1136DF"/>
    <w:rsid w:val="2DAE0E44"/>
    <w:rsid w:val="2FD27414"/>
    <w:rsid w:val="313F1D52"/>
    <w:rsid w:val="318029AB"/>
    <w:rsid w:val="31C63837"/>
    <w:rsid w:val="326F0A17"/>
    <w:rsid w:val="3277581B"/>
    <w:rsid w:val="38006E2C"/>
    <w:rsid w:val="3914510A"/>
    <w:rsid w:val="3B1220C9"/>
    <w:rsid w:val="3D5275AC"/>
    <w:rsid w:val="3EA7725F"/>
    <w:rsid w:val="3EB97B4D"/>
    <w:rsid w:val="3EC014A1"/>
    <w:rsid w:val="40834692"/>
    <w:rsid w:val="423A32B2"/>
    <w:rsid w:val="423C0CB4"/>
    <w:rsid w:val="427B5743"/>
    <w:rsid w:val="42E64542"/>
    <w:rsid w:val="464B7E04"/>
    <w:rsid w:val="464F7E64"/>
    <w:rsid w:val="46901EEE"/>
    <w:rsid w:val="469C74D2"/>
    <w:rsid w:val="47445515"/>
    <w:rsid w:val="4B4C0111"/>
    <w:rsid w:val="4BB23021"/>
    <w:rsid w:val="4F3F074E"/>
    <w:rsid w:val="50DB5F45"/>
    <w:rsid w:val="52F92565"/>
    <w:rsid w:val="543D17CB"/>
    <w:rsid w:val="55DA564E"/>
    <w:rsid w:val="56E07045"/>
    <w:rsid w:val="583059FA"/>
    <w:rsid w:val="587E6212"/>
    <w:rsid w:val="5AFC6609"/>
    <w:rsid w:val="5FA17648"/>
    <w:rsid w:val="5FD320BD"/>
    <w:rsid w:val="60DE4D57"/>
    <w:rsid w:val="613409CB"/>
    <w:rsid w:val="61A46A97"/>
    <w:rsid w:val="62DD7D21"/>
    <w:rsid w:val="65D97752"/>
    <w:rsid w:val="664C500C"/>
    <w:rsid w:val="67D111AB"/>
    <w:rsid w:val="68DB0208"/>
    <w:rsid w:val="68DF36D5"/>
    <w:rsid w:val="69846A0E"/>
    <w:rsid w:val="69AD798C"/>
    <w:rsid w:val="6B68175F"/>
    <w:rsid w:val="6B8B5C99"/>
    <w:rsid w:val="6CA7198F"/>
    <w:rsid w:val="6D8919A8"/>
    <w:rsid w:val="6E0F7A08"/>
    <w:rsid w:val="6E801ABC"/>
    <w:rsid w:val="71473612"/>
    <w:rsid w:val="718F7F65"/>
    <w:rsid w:val="73423603"/>
    <w:rsid w:val="737A5923"/>
    <w:rsid w:val="73DE4104"/>
    <w:rsid w:val="73FB6630"/>
    <w:rsid w:val="74CE04EC"/>
    <w:rsid w:val="74E76DCD"/>
    <w:rsid w:val="76660D7C"/>
    <w:rsid w:val="77ED6F44"/>
    <w:rsid w:val="795A0A34"/>
    <w:rsid w:val="7A0D3BC7"/>
    <w:rsid w:val="7A3A3C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toc 3"/>
    <w:basedOn w:val="1"/>
    <w:next w:val="1"/>
    <w:qFormat/>
    <w:uiPriority w:val="0"/>
    <w:pPr>
      <w:ind w:left="840" w:leftChars="4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customStyle="1" w:styleId="11">
    <w:name w:val="WPSOffice手动目录 3"/>
    <w:qFormat/>
    <w:uiPriority w:val="0"/>
    <w:pPr>
      <w:ind w:leftChars="400"/>
    </w:pPr>
    <w:rPr>
      <w:rFonts w:ascii="Times New Roman" w:hAnsi="Times New Roman" w:eastAsia="宋体" w:cs="Times New Roman"/>
      <w:sz w:val="20"/>
      <w:szCs w:val="20"/>
    </w:rPr>
  </w:style>
  <w:style w:type="paragraph" w:customStyle="1" w:styleId="12">
    <w:name w:val="WPSOffice手动目录 2"/>
    <w:qFormat/>
    <w:uiPriority w:val="0"/>
    <w:pPr>
      <w:ind w:leftChars="200"/>
    </w:pPr>
    <w:rPr>
      <w:rFonts w:ascii="Times New Roman" w:hAnsi="Times New Roman" w:eastAsia="宋体" w:cs="Times New Roman"/>
      <w:sz w:val="20"/>
      <w:szCs w:val="20"/>
    </w:rPr>
  </w:style>
  <w:style w:type="paragraph" w:customStyle="1" w:styleId="1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5513</Words>
  <Characters>6298</Characters>
  <Lines>0</Lines>
  <Paragraphs>0</Paragraphs>
  <TotalTime>6</TotalTime>
  <ScaleCrop>false</ScaleCrop>
  <LinksUpToDate>false</LinksUpToDate>
  <CharactersWithSpaces>6306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GXR</dc:creator>
  <cp:lastModifiedBy>忆</cp:lastModifiedBy>
  <cp:lastPrinted>2024-07-22T11:58:00Z</cp:lastPrinted>
  <dcterms:modified xsi:type="dcterms:W3CDTF">2025-10-15T07:35:17Z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B858A68E913346F885B5BC17D4DBEB06_13</vt:lpwstr>
  </property>
  <property fmtid="{D5CDD505-2E9C-101B-9397-08002B2CF9AE}" pid="4" name="KSOTemplateDocerSaveRecord">
    <vt:lpwstr>eyJoZGlkIjoiMzEwNjkzMWMxZWMzNzU0NmUyNzQ2NGY3YzlmZjBhZDUiLCJ1c2VySWQiOiI0OTMxMTE3MjUifQ==</vt:lpwstr>
  </property>
</Properties>
</file>