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吉木萨尔县人民法院2024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AAD7557">
      <w:r>
        <w:br w:type="page"/>
      </w:r>
    </w:p>
    <w:p w14:paraId="277FC5F7">
      <w:pPr>
        <w:spacing w:line="640" w:lineRule="exact"/>
        <w:jc w:val="center"/>
        <w:outlineLvl w:val="1"/>
      </w:pPr>
      <w:r>
        <w:rPr>
          <w:rFonts w:ascii="黑体" w:hAnsi="黑体" w:eastAsia="黑体"/>
          <w:sz w:val="32"/>
        </w:rPr>
        <w:t>第一部分 单位概况</w:t>
      </w:r>
    </w:p>
    <w:p w14:paraId="280B4BC0">
      <w:pPr>
        <w:spacing w:line="640" w:lineRule="exact"/>
        <w:ind w:firstLine="640"/>
        <w:jc w:val="both"/>
        <w:outlineLvl w:val="2"/>
      </w:pPr>
      <w:r>
        <w:rPr>
          <w:rFonts w:ascii="黑体" w:hAnsi="黑体" w:eastAsia="黑体"/>
          <w:sz w:val="32"/>
        </w:rPr>
        <w:t>一、主要职能</w:t>
      </w:r>
    </w:p>
    <w:p w14:paraId="7C2FE889">
      <w:pPr>
        <w:spacing w:line="580" w:lineRule="exact"/>
        <w:ind w:firstLine="640"/>
        <w:jc w:val="both"/>
      </w:pPr>
      <w:r>
        <w:rPr>
          <w:rFonts w:ascii="仿宋_GB2312" w:hAnsi="仿宋_GB2312" w:eastAsia="仿宋_GB2312"/>
          <w:sz w:val="32"/>
        </w:rPr>
        <w:t>吉木萨尔县人民法院是党领导下国家的审判机关，对县人民代表大会及其常委会负责并报告工作，接受上级人民法院的监督和业务指导，其主要职责是。</w:t>
      </w:r>
    </w:p>
    <w:p w14:paraId="0D6A164E">
      <w:pPr>
        <w:spacing w:line="580" w:lineRule="exact"/>
        <w:ind w:firstLine="640"/>
        <w:jc w:val="both"/>
      </w:pPr>
      <w:r>
        <w:rPr>
          <w:rFonts w:ascii="仿宋_GB2312" w:hAnsi="仿宋_GB2312" w:eastAsia="仿宋_GB2312"/>
          <w:sz w:val="32"/>
        </w:rPr>
        <w:t>（一）审判法律规定由</w:t>
      </w:r>
      <w:r>
        <w:rPr>
          <w:rFonts w:hint="eastAsia" w:ascii="仿宋_GB2312" w:hAnsi="仿宋_GB2312" w:eastAsia="仿宋_GB2312"/>
          <w:sz w:val="32"/>
          <w:lang w:eastAsia="zh-CN"/>
        </w:rPr>
        <w:t>县级</w:t>
      </w:r>
      <w:r>
        <w:rPr>
          <w:rFonts w:ascii="仿宋_GB2312" w:hAnsi="仿宋_GB2312" w:eastAsia="仿宋_GB2312"/>
          <w:sz w:val="32"/>
        </w:rPr>
        <w:t>人民法院管辖的刑事、民事、行政案件。</w:t>
      </w:r>
    </w:p>
    <w:p w14:paraId="0DD162CD">
      <w:pPr>
        <w:spacing w:line="580" w:lineRule="exact"/>
        <w:ind w:firstLine="640"/>
        <w:jc w:val="both"/>
        <w:rPr>
          <w:spacing w:val="-6"/>
          <w:sz w:val="32"/>
        </w:rPr>
      </w:pPr>
      <w:r>
        <w:rPr>
          <w:rFonts w:ascii="仿宋_GB2312" w:hAnsi="仿宋_GB2312" w:eastAsia="仿宋_GB2312"/>
          <w:sz w:val="32"/>
        </w:rPr>
        <w:t>（</w:t>
      </w:r>
      <w:r>
        <w:rPr>
          <w:rFonts w:ascii="仿宋_GB2312" w:hAnsi="仿宋_GB2312" w:eastAsia="仿宋_GB2312"/>
          <w:spacing w:val="-6"/>
          <w:sz w:val="32"/>
        </w:rPr>
        <w:t>二）审理由上级人民法院指定管辖的刑事、民事、行政案件。</w:t>
      </w:r>
    </w:p>
    <w:p w14:paraId="6CE8720C">
      <w:pPr>
        <w:spacing w:line="580" w:lineRule="exact"/>
        <w:ind w:firstLine="640"/>
        <w:jc w:val="both"/>
      </w:pPr>
      <w:r>
        <w:rPr>
          <w:rFonts w:ascii="仿宋_GB2312" w:hAnsi="仿宋_GB2312" w:eastAsia="仿宋_GB2312"/>
          <w:sz w:val="32"/>
        </w:rPr>
        <w:t>（三）审理由上级人民法院交办的再审案件。</w:t>
      </w:r>
    </w:p>
    <w:p w14:paraId="1BF4A45A">
      <w:pPr>
        <w:spacing w:line="580" w:lineRule="exact"/>
        <w:ind w:firstLine="640"/>
        <w:jc w:val="both"/>
      </w:pPr>
      <w:r>
        <w:rPr>
          <w:rFonts w:ascii="仿宋_GB2312" w:hAnsi="仿宋_GB2312" w:eastAsia="仿宋_GB2312"/>
          <w:sz w:val="32"/>
        </w:rPr>
        <w:t>（四）依法行使司法执行权和司法决定权。</w:t>
      </w:r>
    </w:p>
    <w:p w14:paraId="3709FA3F">
      <w:pPr>
        <w:spacing w:line="580" w:lineRule="exact"/>
        <w:ind w:firstLine="640"/>
        <w:jc w:val="both"/>
        <w:rPr>
          <w:rFonts w:ascii="仿宋_GB2312" w:hAnsi="仿宋_GB2312" w:eastAsia="仿宋_GB2312"/>
          <w:spacing w:val="-6"/>
          <w:sz w:val="32"/>
        </w:rPr>
      </w:pPr>
      <w:r>
        <w:rPr>
          <w:rFonts w:ascii="仿宋_GB2312" w:hAnsi="仿宋_GB2312" w:eastAsia="仿宋_GB2312"/>
          <w:spacing w:val="-6"/>
          <w:sz w:val="32"/>
        </w:rPr>
        <w:t>（五）在审判工作中宣传法制、教育公民自觉遵守宪法、法律。</w:t>
      </w:r>
    </w:p>
    <w:p w14:paraId="42124E21">
      <w:pPr>
        <w:spacing w:line="640" w:lineRule="exact"/>
        <w:ind w:firstLine="640"/>
        <w:jc w:val="both"/>
        <w:outlineLvl w:val="2"/>
      </w:pPr>
      <w:r>
        <w:rPr>
          <w:rFonts w:ascii="黑体" w:hAnsi="黑体" w:eastAsia="黑体"/>
          <w:sz w:val="32"/>
        </w:rPr>
        <w:t>二、机构设置及人员情况</w:t>
      </w:r>
    </w:p>
    <w:p w14:paraId="38661859">
      <w:pPr>
        <w:spacing w:line="580" w:lineRule="exact"/>
        <w:ind w:firstLine="640"/>
        <w:jc w:val="both"/>
      </w:pPr>
      <w:r>
        <w:rPr>
          <w:rFonts w:ascii="仿宋_GB2312" w:hAnsi="仿宋_GB2312" w:eastAsia="仿宋_GB2312"/>
          <w:sz w:val="32"/>
        </w:rPr>
        <w:t>吉木萨尔县人民法院2024年度，实有人数93人，其中：在职人员65人，增加1人；离休人员0人，增加0人；退休人员28人,增加1人。</w:t>
      </w:r>
    </w:p>
    <w:p w14:paraId="489CD573">
      <w:pPr>
        <w:spacing w:line="580" w:lineRule="exact"/>
        <w:ind w:firstLine="640"/>
        <w:jc w:val="both"/>
      </w:pPr>
      <w:r>
        <w:rPr>
          <w:rFonts w:ascii="仿宋_GB2312" w:hAnsi="仿宋_GB2312" w:eastAsia="仿宋_GB2312"/>
          <w:sz w:val="32"/>
        </w:rPr>
        <w:t>吉木萨尔县人民法院无下属预算单位，下设11个科室，分别是：立案庭、刑事审判庭、民事审判庭、行政审判庭、执行局、审判管理办公室、政治部、综合办公室、三台人民法庭、大有人民法庭、五彩湾人民法庭。</w:t>
      </w:r>
    </w:p>
    <w:p w14:paraId="1E40A37E">
      <w:r>
        <w:br w:type="page"/>
      </w:r>
    </w:p>
    <w:p w14:paraId="5DEAFF56">
      <w:pPr>
        <w:spacing w:line="240" w:lineRule="auto"/>
        <w:jc w:val="center"/>
        <w:outlineLvl w:val="1"/>
      </w:pPr>
      <w:r>
        <w:rPr>
          <w:rFonts w:ascii="黑体" w:hAnsi="黑体" w:eastAsia="黑体"/>
          <w:sz w:val="32"/>
        </w:rPr>
        <w:t>第二部分 部门决算情况说明</w:t>
      </w:r>
    </w:p>
    <w:p w14:paraId="3CF8BEB5">
      <w:pPr>
        <w:spacing w:line="640" w:lineRule="exact"/>
        <w:ind w:firstLine="640"/>
        <w:jc w:val="both"/>
        <w:outlineLvl w:val="2"/>
      </w:pPr>
      <w:r>
        <w:rPr>
          <w:rFonts w:ascii="黑体" w:hAnsi="黑体" w:eastAsia="黑体"/>
          <w:sz w:val="32"/>
        </w:rPr>
        <w:t>一、收入支出决算总体情况说明</w:t>
      </w:r>
    </w:p>
    <w:p w14:paraId="28D87342">
      <w:pPr>
        <w:spacing w:line="580" w:lineRule="exact"/>
        <w:ind w:firstLine="640"/>
        <w:jc w:val="both"/>
      </w:pPr>
      <w:r>
        <w:rPr>
          <w:rFonts w:ascii="仿宋_GB2312" w:hAnsi="仿宋_GB2312" w:eastAsia="仿宋_GB2312"/>
          <w:b/>
          <w:sz w:val="32"/>
        </w:rPr>
        <w:t>2024年度收入总计2,222.63万元，</w:t>
      </w:r>
      <w:r>
        <w:rPr>
          <w:rFonts w:ascii="仿宋_GB2312" w:hAnsi="仿宋_GB2312" w:eastAsia="仿宋_GB2312"/>
          <w:b w:val="0"/>
          <w:sz w:val="32"/>
        </w:rPr>
        <w:t>其中：本年收入合计2,172.81万元，使用非财政拨款结余（含专用结余）0.00万元，年初结转和结余49.81万元。</w:t>
      </w:r>
    </w:p>
    <w:p w14:paraId="7B9044AA">
      <w:pPr>
        <w:spacing w:line="580" w:lineRule="exact"/>
        <w:ind w:firstLine="640"/>
        <w:jc w:val="both"/>
      </w:pPr>
      <w:r>
        <w:rPr>
          <w:rFonts w:ascii="仿宋_GB2312" w:hAnsi="仿宋_GB2312" w:eastAsia="仿宋_GB2312"/>
          <w:b/>
          <w:sz w:val="32"/>
        </w:rPr>
        <w:t>2024年度支出总计2,222.63万元，</w:t>
      </w:r>
      <w:r>
        <w:rPr>
          <w:rFonts w:ascii="仿宋_GB2312" w:hAnsi="仿宋_GB2312" w:eastAsia="仿宋_GB2312"/>
          <w:b w:val="0"/>
          <w:sz w:val="32"/>
        </w:rPr>
        <w:t>其中：本年支出合计</w:t>
      </w:r>
      <w:r>
        <w:rPr>
          <w:rFonts w:ascii="仿宋_GB2312" w:hAnsi="仿宋_GB2312" w:eastAsia="仿宋_GB2312"/>
          <w:spacing w:val="-6"/>
          <w:sz w:val="32"/>
        </w:rPr>
        <w:t>2,170.53万元，结余分配0.00万元，年末结转和结余52.10万元。</w:t>
      </w:r>
    </w:p>
    <w:p w14:paraId="690EF9F8">
      <w:pPr>
        <w:spacing w:line="580" w:lineRule="exact"/>
        <w:ind w:firstLine="640"/>
        <w:jc w:val="both"/>
      </w:pPr>
      <w:r>
        <w:rPr>
          <w:rFonts w:ascii="仿宋_GB2312" w:hAnsi="仿宋_GB2312" w:eastAsia="仿宋_GB2312"/>
          <w:b w:val="0"/>
          <w:sz w:val="32"/>
        </w:rPr>
        <w:t>收入支出总体与上年相比，减少280.95万元，下降11.22%，主要原因是：本年减少档案扫描费、办案业务经费等。</w:t>
      </w:r>
    </w:p>
    <w:p w14:paraId="4311F809">
      <w:pPr>
        <w:spacing w:line="640" w:lineRule="exact"/>
        <w:ind w:firstLine="640"/>
        <w:jc w:val="both"/>
        <w:outlineLvl w:val="2"/>
      </w:pPr>
      <w:r>
        <w:rPr>
          <w:rFonts w:ascii="黑体" w:hAnsi="黑体" w:eastAsia="黑体"/>
          <w:sz w:val="32"/>
        </w:rPr>
        <w:t>二、收入决算情况说明</w:t>
      </w:r>
    </w:p>
    <w:p w14:paraId="5A87C957">
      <w:pPr>
        <w:spacing w:line="580" w:lineRule="exact"/>
        <w:ind w:firstLine="640"/>
        <w:jc w:val="both"/>
      </w:pPr>
      <w:r>
        <w:rPr>
          <w:rFonts w:ascii="仿宋_GB2312" w:hAnsi="仿宋_GB2312" w:eastAsia="仿宋_GB2312"/>
          <w:b/>
          <w:sz w:val="32"/>
        </w:rPr>
        <w:t>本年收入2,172.81万元，</w:t>
      </w:r>
      <w:r>
        <w:rPr>
          <w:rFonts w:ascii="仿宋_GB2312" w:hAnsi="仿宋_GB2312" w:eastAsia="仿宋_GB2312"/>
          <w:b w:val="0"/>
          <w:sz w:val="32"/>
        </w:rPr>
        <w:t>其中：财政拨款收入2,123.35万元，占97.72%；上级补助收入0.00万元，占0.00%；事业收入0.00万元，占0.00%；经营收入0.00万元，占0.00%；附属单位上缴收入0.00万元，占0.00%；其他收入49.47万元，占2.28%。</w:t>
      </w:r>
    </w:p>
    <w:p w14:paraId="4A7BFFF7">
      <w:pPr>
        <w:spacing w:line="640" w:lineRule="exact"/>
        <w:ind w:firstLine="640"/>
        <w:jc w:val="both"/>
        <w:outlineLvl w:val="2"/>
      </w:pPr>
      <w:r>
        <w:rPr>
          <w:rFonts w:ascii="黑体" w:hAnsi="黑体" w:eastAsia="黑体"/>
          <w:sz w:val="32"/>
        </w:rPr>
        <w:t>三、支出决算情况说明</w:t>
      </w:r>
    </w:p>
    <w:p w14:paraId="5F8A1372">
      <w:pPr>
        <w:spacing w:line="580" w:lineRule="exact"/>
        <w:ind w:firstLine="640"/>
        <w:jc w:val="both"/>
      </w:pPr>
      <w:r>
        <w:rPr>
          <w:rFonts w:ascii="仿宋_GB2312" w:hAnsi="仿宋_GB2312" w:eastAsia="仿宋_GB2312"/>
          <w:b/>
          <w:sz w:val="32"/>
        </w:rPr>
        <w:t>本年支出2,170.53万元，</w:t>
      </w:r>
      <w:r>
        <w:rPr>
          <w:rFonts w:ascii="仿宋_GB2312" w:hAnsi="仿宋_GB2312" w:eastAsia="仿宋_GB2312"/>
          <w:b w:val="0"/>
          <w:sz w:val="32"/>
        </w:rPr>
        <w:t>其中：基本支出1,754.23万元，占80.82%；项目支出416.30万元，占19.18%；上缴上级支出0.00万元，占0.00%；经营支出0.00万元，占0.00%；对附属单位补助支出0.00万元，占0.00%。</w:t>
      </w:r>
    </w:p>
    <w:p w14:paraId="03232C6A">
      <w:pPr>
        <w:spacing w:line="640" w:lineRule="exact"/>
        <w:ind w:firstLine="640"/>
        <w:jc w:val="both"/>
        <w:outlineLvl w:val="2"/>
      </w:pPr>
      <w:r>
        <w:rPr>
          <w:rFonts w:ascii="黑体" w:hAnsi="黑体" w:eastAsia="黑体"/>
          <w:sz w:val="32"/>
        </w:rPr>
        <w:t>四、财政拨款收入支出决算总体情况说明</w:t>
      </w:r>
    </w:p>
    <w:p w14:paraId="1C0195ED">
      <w:pPr>
        <w:spacing w:line="580" w:lineRule="exact"/>
        <w:ind w:firstLine="640"/>
        <w:jc w:val="both"/>
      </w:pPr>
      <w:r>
        <w:rPr>
          <w:rFonts w:ascii="仿宋_GB2312" w:hAnsi="仿宋_GB2312" w:eastAsia="仿宋_GB2312"/>
          <w:b/>
          <w:sz w:val="32"/>
        </w:rPr>
        <w:t>2024年度财政拨款收入总计2,123.35万元，</w:t>
      </w:r>
      <w:r>
        <w:rPr>
          <w:rFonts w:ascii="仿宋_GB2312" w:hAnsi="仿宋_GB2312" w:eastAsia="仿宋_GB2312"/>
          <w:b w:val="0"/>
          <w:sz w:val="32"/>
        </w:rPr>
        <w:t>其中：年初财政拨款结转和结余0.00万元，本年财政拨款收入2,123.35万元。</w:t>
      </w:r>
      <w:r>
        <w:rPr>
          <w:rFonts w:ascii="仿宋_GB2312" w:hAnsi="仿宋_GB2312" w:eastAsia="仿宋_GB2312"/>
          <w:b/>
          <w:sz w:val="32"/>
        </w:rPr>
        <w:t>财政拨款支出总计2,123.35万元，</w:t>
      </w:r>
      <w:r>
        <w:rPr>
          <w:rFonts w:ascii="仿宋_GB2312" w:hAnsi="仿宋_GB2312" w:eastAsia="仿宋_GB2312"/>
          <w:b w:val="0"/>
          <w:sz w:val="32"/>
        </w:rPr>
        <w:t>其中：年末财政拨款结转和结余0.00万元，本年财政拨款支出2,123.35万元。</w:t>
      </w:r>
    </w:p>
    <w:p w14:paraId="511EE92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减少271.89万元，下降11.35%，主要原因是：本年减少档案扫描费、办案业务经费等。</w:t>
      </w:r>
      <w:r>
        <w:rPr>
          <w:rFonts w:ascii="仿宋_GB2312" w:hAnsi="仿宋_GB2312" w:eastAsia="仿宋_GB2312"/>
          <w:b/>
          <w:sz w:val="32"/>
        </w:rPr>
        <w:t>与年初预算相比，</w:t>
      </w:r>
      <w:r>
        <w:rPr>
          <w:rFonts w:ascii="仿宋_GB2312" w:hAnsi="仿宋_GB2312" w:eastAsia="仿宋_GB2312"/>
          <w:b w:val="0"/>
          <w:sz w:val="32"/>
        </w:rPr>
        <w:t>年初预算数1,946.44万元，决算数2,123.35万元，预决算差异率9.09%，主要原因是：本年在职人员增加，年中追加人员经费及人员工资、社保、公积金基数调增部分资金，导致预决算存在差异。</w:t>
      </w:r>
    </w:p>
    <w:p w14:paraId="73656220">
      <w:pPr>
        <w:spacing w:line="640" w:lineRule="exact"/>
        <w:ind w:firstLine="640"/>
        <w:jc w:val="both"/>
        <w:outlineLvl w:val="2"/>
      </w:pPr>
      <w:r>
        <w:rPr>
          <w:rFonts w:ascii="黑体" w:hAnsi="黑体" w:eastAsia="黑体"/>
          <w:sz w:val="32"/>
        </w:rPr>
        <w:t>五、一般公共预算财政拨款支出决算情况说明</w:t>
      </w:r>
    </w:p>
    <w:p w14:paraId="5E2E9B6D">
      <w:pPr>
        <w:spacing w:line="640" w:lineRule="exact"/>
        <w:ind w:firstLine="640"/>
        <w:jc w:val="both"/>
        <w:outlineLvl w:val="3"/>
      </w:pPr>
      <w:r>
        <w:rPr>
          <w:rFonts w:ascii="楷体_GB2312" w:hAnsi="楷体_GB2312" w:eastAsia="楷体_GB2312"/>
          <w:b/>
          <w:sz w:val="32"/>
        </w:rPr>
        <w:t>（一）一般公共预算财政拨款支出决算总体情况</w:t>
      </w:r>
    </w:p>
    <w:p w14:paraId="5943F41B">
      <w:pPr>
        <w:spacing w:line="580" w:lineRule="exact"/>
        <w:ind w:firstLine="640"/>
        <w:jc w:val="both"/>
      </w:pPr>
      <w:r>
        <w:rPr>
          <w:rFonts w:ascii="仿宋_GB2312" w:hAnsi="仿宋_GB2312" w:eastAsia="仿宋_GB2312"/>
          <w:b/>
          <w:sz w:val="32"/>
        </w:rPr>
        <w:t>2024年度一般公共预算财政拨款支出2,123.35万元，</w:t>
      </w:r>
      <w:r>
        <w:rPr>
          <w:rFonts w:ascii="仿宋_GB2312" w:hAnsi="仿宋_GB2312" w:eastAsia="仿宋_GB2312"/>
          <w:b w:val="0"/>
          <w:sz w:val="32"/>
        </w:rPr>
        <w:t>占本年支出合计的97.83%。</w:t>
      </w:r>
      <w:r>
        <w:rPr>
          <w:rFonts w:ascii="仿宋_GB2312" w:hAnsi="仿宋_GB2312" w:eastAsia="仿宋_GB2312"/>
          <w:b/>
          <w:sz w:val="32"/>
        </w:rPr>
        <w:t>与上年相比，</w:t>
      </w:r>
      <w:r>
        <w:rPr>
          <w:rFonts w:ascii="仿宋_GB2312" w:hAnsi="仿宋_GB2312" w:eastAsia="仿宋_GB2312"/>
          <w:b w:val="0"/>
          <w:sz w:val="32"/>
        </w:rPr>
        <w:t>减少271.89万元，下降11.35%，主要原因是：本年减少档案扫描费、办案业务经费等。</w:t>
      </w:r>
      <w:r>
        <w:rPr>
          <w:rFonts w:ascii="仿宋_GB2312" w:hAnsi="仿宋_GB2312" w:eastAsia="仿宋_GB2312"/>
          <w:b/>
          <w:sz w:val="32"/>
        </w:rPr>
        <w:t>与年初预算相比,</w:t>
      </w:r>
      <w:r>
        <w:rPr>
          <w:rFonts w:ascii="仿宋_GB2312" w:hAnsi="仿宋_GB2312" w:eastAsia="仿宋_GB2312"/>
          <w:b w:val="0"/>
          <w:sz w:val="32"/>
        </w:rPr>
        <w:t>年初预算数1,946.44万元，决算数2,123.35万元，预决算差异率9.09%，主要原因是：本年在职人员增加，年中追加人员经费及人员工资、社保、公积金基数调增部分资金，导致预决算存在差异。</w:t>
      </w:r>
    </w:p>
    <w:p w14:paraId="1AF27A21">
      <w:pPr>
        <w:spacing w:line="640" w:lineRule="exact"/>
        <w:ind w:firstLine="640"/>
        <w:jc w:val="both"/>
        <w:outlineLvl w:val="3"/>
      </w:pPr>
      <w:r>
        <w:rPr>
          <w:rFonts w:ascii="楷体_GB2312" w:hAnsi="楷体_GB2312" w:eastAsia="楷体_GB2312"/>
          <w:b/>
          <w:sz w:val="32"/>
        </w:rPr>
        <w:t>（二）一般公共预算财政拨款支出决算结构情况</w:t>
      </w:r>
    </w:p>
    <w:p w14:paraId="1D35AD53">
      <w:pPr>
        <w:spacing w:line="580" w:lineRule="exact"/>
        <w:ind w:firstLine="640"/>
        <w:jc w:val="both"/>
      </w:pPr>
      <w:r>
        <w:rPr>
          <w:rFonts w:ascii="仿宋_GB2312" w:hAnsi="仿宋_GB2312" w:eastAsia="仿宋_GB2312"/>
          <w:b w:val="0"/>
          <w:sz w:val="32"/>
        </w:rPr>
        <w:t>1.一般公共服务支出(类)0.50万元,占0.02%。</w:t>
      </w:r>
    </w:p>
    <w:p w14:paraId="370E1927">
      <w:pPr>
        <w:spacing w:line="580" w:lineRule="exact"/>
        <w:ind w:firstLine="640"/>
        <w:jc w:val="both"/>
      </w:pPr>
      <w:r>
        <w:rPr>
          <w:rFonts w:ascii="仿宋_GB2312" w:hAnsi="仿宋_GB2312" w:eastAsia="仿宋_GB2312"/>
          <w:b w:val="0"/>
          <w:sz w:val="32"/>
        </w:rPr>
        <w:t>2.公共安全支出(类)1,748.57万元,占82.35%。</w:t>
      </w:r>
    </w:p>
    <w:p w14:paraId="19ADC288">
      <w:pPr>
        <w:spacing w:line="580" w:lineRule="exact"/>
        <w:ind w:firstLine="640"/>
        <w:jc w:val="both"/>
      </w:pPr>
      <w:r>
        <w:rPr>
          <w:rFonts w:ascii="仿宋_GB2312" w:hAnsi="仿宋_GB2312" w:eastAsia="仿宋_GB2312"/>
          <w:b w:val="0"/>
          <w:sz w:val="32"/>
        </w:rPr>
        <w:t>3.社会保障和就业支出(类)199.85万元,占9.41%。</w:t>
      </w:r>
    </w:p>
    <w:p w14:paraId="02EFF689">
      <w:pPr>
        <w:spacing w:line="580" w:lineRule="exact"/>
        <w:ind w:firstLine="640"/>
        <w:jc w:val="both"/>
      </w:pPr>
      <w:r>
        <w:rPr>
          <w:rFonts w:ascii="仿宋_GB2312" w:hAnsi="仿宋_GB2312" w:eastAsia="仿宋_GB2312"/>
          <w:b w:val="0"/>
          <w:sz w:val="32"/>
        </w:rPr>
        <w:t>4.卫生健康支出(类)66.02万元,占3.11%。</w:t>
      </w:r>
    </w:p>
    <w:p w14:paraId="1D3AB3F4">
      <w:pPr>
        <w:spacing w:line="580" w:lineRule="exact"/>
        <w:ind w:firstLine="640"/>
        <w:jc w:val="both"/>
      </w:pPr>
      <w:r>
        <w:rPr>
          <w:rFonts w:ascii="仿宋_GB2312" w:hAnsi="仿宋_GB2312" w:eastAsia="仿宋_GB2312"/>
          <w:b w:val="0"/>
          <w:sz w:val="32"/>
        </w:rPr>
        <w:t>5.住房保障支出(类)97.34万元,占4.58%。</w:t>
      </w:r>
    </w:p>
    <w:p w14:paraId="7426B57F">
      <w:pPr>
        <w:spacing w:line="580" w:lineRule="exact"/>
        <w:ind w:firstLine="640"/>
        <w:jc w:val="both"/>
      </w:pPr>
      <w:r>
        <w:rPr>
          <w:rFonts w:ascii="仿宋_GB2312" w:hAnsi="仿宋_GB2312" w:eastAsia="仿宋_GB2312"/>
          <w:b w:val="0"/>
          <w:sz w:val="32"/>
        </w:rPr>
        <w:t>6.其他支出(类)11.07万元,占0.52%。</w:t>
      </w:r>
    </w:p>
    <w:p w14:paraId="183D0D8E">
      <w:pPr>
        <w:spacing w:line="640" w:lineRule="exact"/>
        <w:ind w:firstLine="640"/>
        <w:jc w:val="both"/>
        <w:outlineLvl w:val="3"/>
      </w:pPr>
      <w:r>
        <w:rPr>
          <w:rFonts w:ascii="楷体_GB2312" w:hAnsi="楷体_GB2312" w:eastAsia="楷体_GB2312"/>
          <w:b/>
          <w:sz w:val="32"/>
        </w:rPr>
        <w:t>（三）一般公共预算财政拨款支出决算具体情况</w:t>
      </w:r>
    </w:p>
    <w:p w14:paraId="32428020">
      <w:pPr>
        <w:spacing w:line="580" w:lineRule="exact"/>
        <w:ind w:firstLine="640"/>
        <w:jc w:val="both"/>
      </w:pPr>
      <w:r>
        <w:rPr>
          <w:rFonts w:ascii="仿宋_GB2312" w:hAnsi="仿宋_GB2312" w:eastAsia="仿宋_GB2312"/>
          <w:b w:val="0"/>
          <w:sz w:val="32"/>
        </w:rPr>
        <w:t>1.一般公共服务支出(类)信访事务(款)信访业务(项):支出决算数为0.50万元，比上年决算增加0.50万元，增长100.00%,主要原因是：本年增加信访专项资金。</w:t>
      </w:r>
    </w:p>
    <w:p w14:paraId="0F43B9EC">
      <w:pPr>
        <w:spacing w:line="580" w:lineRule="exact"/>
        <w:ind w:firstLine="640"/>
        <w:jc w:val="both"/>
      </w:pPr>
      <w:r>
        <w:rPr>
          <w:rFonts w:ascii="仿宋_GB2312" w:hAnsi="仿宋_GB2312" w:eastAsia="仿宋_GB2312"/>
          <w:b w:val="0"/>
          <w:sz w:val="32"/>
        </w:rPr>
        <w:t>2.公共安全支出(类)法院(款)行政运行(项):支出决算数为1,391.02万元，比上年决算增加21.39万元，增长1.56%,主要原因是：本年在职人员工资调增，导致相关人员经费较上年有所增加。</w:t>
      </w:r>
    </w:p>
    <w:p w14:paraId="5866FB06">
      <w:pPr>
        <w:spacing w:line="580" w:lineRule="exact"/>
        <w:ind w:firstLine="640"/>
        <w:jc w:val="both"/>
      </w:pPr>
      <w:r>
        <w:rPr>
          <w:rFonts w:ascii="仿宋_GB2312" w:hAnsi="仿宋_GB2312" w:eastAsia="仿宋_GB2312"/>
          <w:b w:val="0"/>
          <w:sz w:val="32"/>
        </w:rPr>
        <w:t>3.公共安全支出(类)法院(款)一般行政管理事务(项):支出决算数为45.29万元，比上年决算减少171.36万元，下降79.10%,主要原因是：本年减少档案扫描费等。</w:t>
      </w:r>
    </w:p>
    <w:p w14:paraId="2F1F59CC">
      <w:pPr>
        <w:spacing w:line="580" w:lineRule="exact"/>
        <w:ind w:firstLine="640"/>
        <w:jc w:val="both"/>
      </w:pPr>
      <w:r>
        <w:rPr>
          <w:rFonts w:ascii="仿宋_GB2312" w:hAnsi="仿宋_GB2312" w:eastAsia="仿宋_GB2312"/>
          <w:b w:val="0"/>
          <w:sz w:val="32"/>
        </w:rPr>
        <w:t>4.公共安全支出(类)法院(款)其他法院支出(项):支出决算数为312.26万元，比上年决算减少150.78万元，下降32.56%,主要原因是：本年减少办案业务经费。</w:t>
      </w:r>
    </w:p>
    <w:p w14:paraId="64805E39">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5.社会保障和就业支出(类)行政事业单位养老支出(款)行政单位离退休(项):支出决算数为17.17万元，比上年决算增加5.95万元，增长53.03%,主要原因是：本年增加退休人员绩效奖金，退休人员经费支出增加。</w:t>
      </w:r>
    </w:p>
    <w:p w14:paraId="6D09A19B">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121.79万元，比上年决算增加18.78万元，增长18.23%,主要原因是：本年在职人员工资基数调增，养老缴费基数上涨，相应支出增加。</w:t>
      </w:r>
    </w:p>
    <w:p w14:paraId="276B80F5">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7.社会保障和就业支出(类)行政事业单位养老支出(款)机关事业单位职业年金缴费支出(项):支出决算数为60.89万元，比上年决算增加11.46万元，增长23.18%,主要原因是：本年新增退休人员，职业年金缴费支出增加。</w:t>
      </w:r>
    </w:p>
    <w:p w14:paraId="5AA915A1">
      <w:pPr>
        <w:spacing w:line="580" w:lineRule="exact"/>
        <w:ind w:firstLine="640"/>
        <w:jc w:val="both"/>
      </w:pPr>
      <w:r>
        <w:rPr>
          <w:rFonts w:ascii="仿宋_GB2312" w:hAnsi="仿宋_GB2312" w:eastAsia="仿宋_GB2312"/>
          <w:b w:val="0"/>
          <w:sz w:val="32"/>
        </w:rPr>
        <w:t>8.卫生健康支出(类)行政事业单位医疗(款)行政单位医疗(项):支出决算数为61.73万元，比上年决算增加4.97万元，增长8.76%,主要原因是：本年在职人员工资基数调增，医疗缴费基数上涨，相应支出增加。</w:t>
      </w:r>
    </w:p>
    <w:p w14:paraId="33F4B5B5">
      <w:pPr>
        <w:spacing w:line="580" w:lineRule="exact"/>
        <w:ind w:firstLine="640"/>
        <w:jc w:val="both"/>
      </w:pPr>
      <w:r>
        <w:rPr>
          <w:rFonts w:ascii="仿宋_GB2312" w:hAnsi="仿宋_GB2312" w:eastAsia="仿宋_GB2312"/>
          <w:b w:val="0"/>
          <w:sz w:val="32"/>
        </w:rPr>
        <w:t>9.卫生健康支出(类)行政事业单位医疗(款)公务员医疗补助(项):支出决算数为3.86万元，比上年决算增加0.32万元，增长9.04%,主要原因是：本年在职人员工资基数调增，医疗缴费基数上涨，相应支出增加。</w:t>
      </w:r>
    </w:p>
    <w:p w14:paraId="61BBD137">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0.43万元，比上年决算减少0.06万元，下降12.24%,主要原因是：本年在职人员调入，退休，人员职级不同，缴费基数不同，导致其他行政事业单位医疗较上年减少。</w:t>
      </w:r>
    </w:p>
    <w:p w14:paraId="4F8BB4FE">
      <w:pPr>
        <w:spacing w:line="580" w:lineRule="exact"/>
        <w:ind w:firstLine="640"/>
        <w:jc w:val="both"/>
      </w:pPr>
      <w:r>
        <w:rPr>
          <w:rFonts w:ascii="仿宋_GB2312" w:hAnsi="仿宋_GB2312" w:eastAsia="仿宋_GB2312"/>
          <w:b w:val="0"/>
          <w:sz w:val="32"/>
        </w:rPr>
        <w:t>11.住房保障支出(类)住房改革支出(款)住房公积金(项):支出决算数为97.34万元，比上年决算减少4.85万元，下降4.75%,主要原因是：本年在职人员调入，退休，人员职级不同，缴费基数不同，导致住房公积金缴费较上年减少。</w:t>
      </w:r>
    </w:p>
    <w:p w14:paraId="244B7F84">
      <w:pPr>
        <w:spacing w:line="580" w:lineRule="exact"/>
        <w:ind w:firstLine="640"/>
        <w:jc w:val="both"/>
      </w:pPr>
      <w:r>
        <w:rPr>
          <w:rFonts w:ascii="仿宋_GB2312" w:hAnsi="仿宋_GB2312" w:eastAsia="仿宋_GB2312"/>
          <w:b w:val="0"/>
          <w:sz w:val="32"/>
        </w:rPr>
        <w:t>12.其他支出(类)其他支出(款)其他支出(项):支出决算数为11.07万元，比上年决算减少8.20万元，下降42.55%,主要原因是：本年减少为民办实事个人补助经费。</w:t>
      </w:r>
    </w:p>
    <w:p w14:paraId="0DABB277">
      <w:pPr>
        <w:spacing w:line="640" w:lineRule="exact"/>
        <w:ind w:firstLine="640"/>
        <w:jc w:val="both"/>
        <w:outlineLvl w:val="2"/>
      </w:pPr>
      <w:r>
        <w:rPr>
          <w:rFonts w:ascii="黑体" w:hAnsi="黑体" w:eastAsia="黑体"/>
          <w:sz w:val="32"/>
        </w:rPr>
        <w:t>六、一般公共预算财政拨款基本支出决算情况说明</w:t>
      </w:r>
    </w:p>
    <w:p w14:paraId="564EDE57">
      <w:pPr>
        <w:spacing w:line="580" w:lineRule="exact"/>
        <w:ind w:firstLine="640"/>
        <w:jc w:val="both"/>
      </w:pPr>
      <w:r>
        <w:rPr>
          <w:rFonts w:ascii="仿宋_GB2312" w:hAnsi="仿宋_GB2312" w:eastAsia="仿宋_GB2312"/>
          <w:b w:val="0"/>
          <w:sz w:val="32"/>
        </w:rPr>
        <w:t>2024年度一般公共预算财政拨款基本支出1,754.23万元，其中：</w:t>
      </w:r>
      <w:r>
        <w:rPr>
          <w:rFonts w:ascii="仿宋_GB2312" w:hAnsi="仿宋_GB2312" w:eastAsia="仿宋_GB2312"/>
          <w:b/>
          <w:sz w:val="32"/>
        </w:rPr>
        <w:t>人员经费1,580.95万元，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48A4D57B">
      <w:pPr>
        <w:spacing w:line="580" w:lineRule="exact"/>
        <w:ind w:firstLine="640"/>
        <w:jc w:val="both"/>
      </w:pPr>
      <w:r>
        <w:rPr>
          <w:rFonts w:ascii="仿宋_GB2312" w:hAnsi="仿宋_GB2312" w:eastAsia="仿宋_GB2312"/>
          <w:b/>
          <w:sz w:val="32"/>
        </w:rPr>
        <w:t>公用经费173.28万元，</w:t>
      </w:r>
      <w:r>
        <w:rPr>
          <w:rFonts w:ascii="仿宋_GB2312" w:hAnsi="仿宋_GB2312" w:eastAsia="仿宋_GB2312"/>
          <w:b w:val="0"/>
          <w:sz w:val="32"/>
        </w:rPr>
        <w:t>包括：办公费、水费、电费、取暖费、物业管理费、租赁费、公务接待费、劳务费、工会经费、福利费、其他商品和服务支出。</w:t>
      </w:r>
    </w:p>
    <w:p w14:paraId="51411B08">
      <w:pPr>
        <w:spacing w:line="640" w:lineRule="exact"/>
        <w:ind w:firstLine="640"/>
        <w:jc w:val="both"/>
        <w:outlineLvl w:val="2"/>
      </w:pPr>
      <w:r>
        <w:rPr>
          <w:rFonts w:ascii="黑体" w:hAnsi="黑体" w:eastAsia="黑体"/>
          <w:sz w:val="32"/>
        </w:rPr>
        <w:t>七、政府性基金预算财政拨款收入支出决算情况说明</w:t>
      </w:r>
    </w:p>
    <w:p w14:paraId="5729371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575AF8">
      <w:pPr>
        <w:spacing w:line="640" w:lineRule="exact"/>
        <w:ind w:firstLine="640"/>
        <w:jc w:val="both"/>
        <w:outlineLvl w:val="2"/>
      </w:pPr>
      <w:r>
        <w:rPr>
          <w:rFonts w:ascii="黑体" w:hAnsi="黑体" w:eastAsia="黑体"/>
          <w:sz w:val="32"/>
        </w:rPr>
        <w:t>八、国有资本经营预算财政拨款收入支出决算情况说明</w:t>
      </w:r>
    </w:p>
    <w:p w14:paraId="5239F9F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BE52258">
      <w:pPr>
        <w:spacing w:line="640" w:lineRule="exact"/>
        <w:ind w:firstLine="640"/>
        <w:jc w:val="both"/>
        <w:outlineLvl w:val="2"/>
      </w:pPr>
      <w:r>
        <w:rPr>
          <w:rFonts w:ascii="黑体" w:hAnsi="黑体" w:eastAsia="黑体"/>
          <w:sz w:val="32"/>
        </w:rPr>
        <w:t>九、财政拨款“三公”经费支出决算情况说明</w:t>
      </w:r>
    </w:p>
    <w:p w14:paraId="40B01F88">
      <w:pPr>
        <w:spacing w:line="580" w:lineRule="exact"/>
        <w:ind w:firstLine="640"/>
        <w:jc w:val="both"/>
      </w:pPr>
      <w:r>
        <w:rPr>
          <w:rFonts w:ascii="仿宋_GB2312" w:hAnsi="仿宋_GB2312" w:eastAsia="仿宋_GB2312"/>
          <w:b/>
          <w:sz w:val="32"/>
        </w:rPr>
        <w:t>2024年度财政拨款“三公”经费支出35.14万元，</w:t>
      </w:r>
      <w:r>
        <w:rPr>
          <w:rFonts w:ascii="仿宋_GB2312" w:hAnsi="仿宋_GB2312" w:eastAsia="仿宋_GB2312"/>
          <w:b w:val="0"/>
          <w:sz w:val="32"/>
        </w:rPr>
        <w:t>比上年增加0.02万元，增长0.06%，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34.84万元，占99.15%，比上年减少0.28万元，下降0.80%，主要原因是：严格落实中央八项规定精神，厉行节约，减少公务用车运行维护费。公务接待费支出0.30万元，占0.85%，比上年增加0.30万元，增长100.00%，主要原因是：本年因业务需求，增加公务接待工作，导致公务接待费较上年增加。</w:t>
      </w:r>
    </w:p>
    <w:p w14:paraId="119675F5">
      <w:pPr>
        <w:spacing w:line="580" w:lineRule="exact"/>
        <w:ind w:firstLine="640"/>
        <w:jc w:val="both"/>
      </w:pPr>
      <w:r>
        <w:rPr>
          <w:rFonts w:ascii="仿宋_GB2312" w:hAnsi="仿宋_GB2312" w:eastAsia="仿宋_GB2312"/>
          <w:b/>
          <w:sz w:val="32"/>
        </w:rPr>
        <w:t>具体情况如下：</w:t>
      </w:r>
    </w:p>
    <w:p w14:paraId="48C8E79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F6C20B">
      <w:pPr>
        <w:spacing w:line="580" w:lineRule="exact"/>
        <w:ind w:firstLine="640"/>
        <w:jc w:val="both"/>
      </w:pPr>
      <w:r>
        <w:rPr>
          <w:rFonts w:ascii="仿宋_GB2312" w:hAnsi="仿宋_GB2312" w:eastAsia="仿宋_GB2312"/>
          <w:b w:val="0"/>
          <w:sz w:val="32"/>
        </w:rPr>
        <w:t>公务用车购置及运行维护费34.84万元，其中：公务用车购置费0.00万元，公务用车运行维护费34.84万元。公务用车运行维护费开支内容包括车辆燃油费、车辆维修费、车辆保险费、停车费、车辆审验费。公务用车购置数0辆，公务用车保有量17辆。国有资产占用情况中固定资产车辆17辆，与公务用车保有量差异原因是：本单位固定资产车辆与公务用车保有量一致无差异。</w:t>
      </w:r>
    </w:p>
    <w:p w14:paraId="6AC61642">
      <w:pPr>
        <w:spacing w:line="580" w:lineRule="exact"/>
        <w:ind w:firstLine="640"/>
        <w:jc w:val="both"/>
      </w:pPr>
      <w:r>
        <w:rPr>
          <w:rFonts w:ascii="仿宋_GB2312" w:hAnsi="仿宋_GB2312" w:eastAsia="仿宋_GB2312"/>
          <w:b w:val="0"/>
          <w:sz w:val="32"/>
        </w:rPr>
        <w:t>公务接待费0.30万元，开支内容包括福建援疆人员、新疆高院来</w:t>
      </w:r>
      <w:r>
        <w:rPr>
          <w:rFonts w:hint="eastAsia" w:ascii="仿宋_GB2312" w:hAnsi="仿宋_GB2312" w:eastAsia="仿宋_GB2312"/>
          <w:b w:val="0"/>
          <w:sz w:val="32"/>
          <w:lang w:eastAsia="zh-CN"/>
        </w:rPr>
        <w:t>本单位</w:t>
      </w:r>
      <w:r>
        <w:rPr>
          <w:rFonts w:ascii="仿宋_GB2312" w:hAnsi="仿宋_GB2312" w:eastAsia="仿宋_GB2312"/>
          <w:b w:val="0"/>
          <w:sz w:val="32"/>
        </w:rPr>
        <w:t>调研产生的就餐费。单位全年安排的国内公务接待5批次，68人次。</w:t>
      </w:r>
    </w:p>
    <w:p w14:paraId="1323A5D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35.14万元，决算数35.14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34.84万元，决算数34.84万元，预决算差异率0.00%，主要原因是：严格按照预算执行，预决算无差异。公务接待费全年预算数0.30万元，决算数0.30万元，预决算差异率0.00%，主要原因是：严格按照预算执行，预决算无差异。</w:t>
      </w:r>
    </w:p>
    <w:p w14:paraId="5AAD0A75">
      <w:pPr>
        <w:spacing w:line="640" w:lineRule="exact"/>
        <w:ind w:firstLine="640"/>
        <w:jc w:val="both"/>
        <w:outlineLvl w:val="2"/>
      </w:pPr>
      <w:r>
        <w:rPr>
          <w:rFonts w:ascii="黑体" w:hAnsi="黑体" w:eastAsia="黑体"/>
          <w:sz w:val="32"/>
        </w:rPr>
        <w:t>十、其他重要事项的情况说明</w:t>
      </w:r>
    </w:p>
    <w:p w14:paraId="072A64BE">
      <w:pPr>
        <w:spacing w:line="640" w:lineRule="exact"/>
        <w:ind w:firstLine="640"/>
        <w:jc w:val="both"/>
        <w:outlineLvl w:val="3"/>
      </w:pPr>
      <w:r>
        <w:rPr>
          <w:rFonts w:ascii="楷体_GB2312" w:hAnsi="楷体_GB2312" w:eastAsia="楷体_GB2312"/>
          <w:b/>
          <w:sz w:val="32"/>
        </w:rPr>
        <w:t>（一）机关运行经费及公用经费支出情况</w:t>
      </w:r>
    </w:p>
    <w:p w14:paraId="71968E2A">
      <w:pPr>
        <w:spacing w:line="580" w:lineRule="exact"/>
        <w:ind w:firstLine="640"/>
        <w:jc w:val="both"/>
      </w:pPr>
      <w:r>
        <w:rPr>
          <w:rFonts w:ascii="仿宋_GB2312" w:hAnsi="仿宋_GB2312" w:eastAsia="仿宋_GB2312"/>
          <w:b w:val="0"/>
          <w:sz w:val="32"/>
        </w:rPr>
        <w:t>2024年度吉木萨尔县人民法院（行政单位和参照公务员法管理事业单位）机关运行经费支出173.28万元，比上年减少2.27万元，下降1.29%，主要原因是：严格控制公用经费，合理节约办公用品，减少不必要开支。</w:t>
      </w:r>
    </w:p>
    <w:p w14:paraId="6FD120BB">
      <w:pPr>
        <w:spacing w:line="640" w:lineRule="exact"/>
        <w:ind w:firstLine="640"/>
        <w:jc w:val="both"/>
        <w:outlineLvl w:val="3"/>
      </w:pPr>
      <w:r>
        <w:rPr>
          <w:rFonts w:ascii="楷体_GB2312" w:hAnsi="楷体_GB2312" w:eastAsia="楷体_GB2312"/>
          <w:b/>
          <w:sz w:val="32"/>
        </w:rPr>
        <w:t>（二）政府采购情况</w:t>
      </w:r>
    </w:p>
    <w:p w14:paraId="13E9E2FC">
      <w:pPr>
        <w:spacing w:line="580" w:lineRule="exact"/>
        <w:ind w:firstLine="640"/>
        <w:jc w:val="both"/>
      </w:pPr>
      <w:r>
        <w:rPr>
          <w:rFonts w:ascii="仿宋_GB2312" w:hAnsi="仿宋_GB2312" w:eastAsia="仿宋_GB2312"/>
          <w:b w:val="0"/>
          <w:sz w:val="32"/>
        </w:rPr>
        <w:t>2024年度政府采购支出总额297.39万元，其中：政府采购货物支出172.01万元、政府采购工程支出0.00万元、政府采购服务支出125.37万元。</w:t>
      </w:r>
    </w:p>
    <w:p w14:paraId="20452A09">
      <w:pPr>
        <w:spacing w:line="580" w:lineRule="exact"/>
        <w:ind w:firstLine="640"/>
        <w:jc w:val="both"/>
      </w:pPr>
      <w:r>
        <w:rPr>
          <w:rFonts w:ascii="仿宋_GB2312" w:hAnsi="仿宋_GB2312" w:eastAsia="仿宋_GB2312"/>
          <w:b w:val="0"/>
          <w:sz w:val="32"/>
        </w:rPr>
        <w:t>授予中小企业合同金额297.39万元，占政府采购支出总额的100.00%，其中：授予小微企业合同金额297.39万元，占政府采购支出总额的100.00%。</w:t>
      </w:r>
    </w:p>
    <w:p w14:paraId="54722D50">
      <w:pPr>
        <w:spacing w:line="640" w:lineRule="exact"/>
        <w:ind w:firstLine="640"/>
        <w:jc w:val="both"/>
        <w:outlineLvl w:val="3"/>
      </w:pPr>
      <w:r>
        <w:rPr>
          <w:rFonts w:ascii="楷体_GB2312" w:hAnsi="楷体_GB2312" w:eastAsia="楷体_GB2312"/>
          <w:b/>
          <w:sz w:val="32"/>
        </w:rPr>
        <w:t>（三）国有资产占用情况说明</w:t>
      </w:r>
    </w:p>
    <w:p w14:paraId="56C13D0B">
      <w:pPr>
        <w:spacing w:line="580" w:lineRule="exact"/>
        <w:ind w:firstLine="640"/>
        <w:jc w:val="both"/>
      </w:pPr>
      <w:r>
        <w:rPr>
          <w:rFonts w:ascii="仿宋_GB2312" w:hAnsi="仿宋_GB2312" w:eastAsia="仿宋_GB2312"/>
          <w:b w:val="0"/>
          <w:sz w:val="32"/>
        </w:rPr>
        <w:t>截至2024年12月31日，房屋8,574.25平方米，价值1,971.34万元。车辆17辆，价值282.19万元，其中：副部（省）级及以上领导用车0辆、主要负责人用车0辆、机要通信用车0辆、应急保障用车0辆、执法执勤用车12辆、特种专业技术用车4辆、离退休干部服务用车0辆、其他用车1辆，其他用车主要是：一般公务用车。单价100万元（含）以上设备（不含车辆）0台（套）。</w:t>
      </w:r>
    </w:p>
    <w:p w14:paraId="5D04B90A">
      <w:pPr>
        <w:spacing w:line="640" w:lineRule="exact"/>
        <w:ind w:firstLine="640"/>
        <w:jc w:val="both"/>
        <w:outlineLvl w:val="2"/>
      </w:pPr>
      <w:r>
        <w:rPr>
          <w:rFonts w:ascii="黑体" w:hAnsi="黑体" w:eastAsia="黑体"/>
          <w:sz w:val="32"/>
        </w:rPr>
        <w:t>十一、预算绩效的情况说明</w:t>
      </w:r>
    </w:p>
    <w:p w14:paraId="3067113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根据预算绩效管理要求，本单位2024年度预算绩效管理形成整体支出绩效自评表1个，全年预算总额2,222.63万元，实际执行总额2,170.53万元；预算绩效评价项目</w:t>
      </w:r>
      <w:r>
        <w:rPr>
          <w:rFonts w:hint="eastAsia" w:ascii="仿宋_GB2312" w:hAnsi="仿宋_GB2312" w:eastAsia="仿宋_GB2312"/>
          <w:b w:val="0"/>
          <w:sz w:val="32"/>
          <w:lang w:val="en-US" w:eastAsia="zh-CN"/>
        </w:rPr>
        <w:t>2</w:t>
      </w:r>
      <w:r>
        <w:rPr>
          <w:rFonts w:ascii="仿宋_GB2312" w:hAnsi="仿宋_GB2312" w:eastAsia="仿宋_GB2312"/>
          <w:b w:val="0"/>
          <w:sz w:val="32"/>
        </w:rPr>
        <w:t>个，全年预算数</w:t>
      </w:r>
      <w:r>
        <w:rPr>
          <w:rFonts w:hint="eastAsia" w:ascii="仿宋_GB2312" w:hAnsi="仿宋_GB2312" w:eastAsia="仿宋_GB2312"/>
          <w:b w:val="0"/>
          <w:sz w:val="32"/>
        </w:rPr>
        <w:t>361.72</w:t>
      </w:r>
      <w:r>
        <w:rPr>
          <w:rFonts w:ascii="仿宋_GB2312" w:hAnsi="仿宋_GB2312" w:eastAsia="仿宋_GB2312"/>
          <w:b w:val="0"/>
          <w:sz w:val="32"/>
        </w:rPr>
        <w:t>万元，全年执行数</w:t>
      </w:r>
      <w:r>
        <w:rPr>
          <w:rFonts w:hint="eastAsia" w:ascii="仿宋_GB2312" w:hAnsi="仿宋_GB2312" w:eastAsia="仿宋_GB2312"/>
          <w:b w:val="0"/>
          <w:sz w:val="32"/>
        </w:rPr>
        <w:t>359.4</w:t>
      </w:r>
      <w:r>
        <w:rPr>
          <w:rFonts w:hint="eastAsia" w:ascii="仿宋_GB2312" w:hAnsi="仿宋_GB2312" w:eastAsia="仿宋_GB2312"/>
          <w:b w:val="0"/>
          <w:sz w:val="32"/>
          <w:lang w:val="en-US" w:eastAsia="zh-CN"/>
        </w:rPr>
        <w:t>5</w:t>
      </w:r>
      <w:r>
        <w:rPr>
          <w:rFonts w:ascii="仿宋_GB2312" w:hAnsi="仿宋_GB2312" w:eastAsia="仿宋_GB2312"/>
          <w:b w:val="0"/>
          <w:sz w:val="32"/>
        </w:rPr>
        <w:t>万元。预算绩效管理取得的成效：单位确定了单位绩效工作组织架构。办公室负责牵头建立绩效小组，研究制定各项绩效管理制度，组织协调绩效日常工作，认真执行项目绩效管理制度，落实相关工作要求。建立了部门预算管理办法、财务收支管理办法、固定资产管理办法、办公用品采购保管领用管理办法、采购管理办法、合同业务管理办法、会计业务管理办法等。2024年本单位预算编制坚持量入为出、保障重点的原则 ，对项目支出按照轻重缓急程度实行分类排序，统筹安排部门预算。2024年本单位安排项目预算时将项目支出进行细化，细化成单价、数量，单价以行业标准、市场数据以及历史数据作为编制依据进行核算，数量以实际需求等资料为依据进行测算。人员经费预算和公用经费预算均按照定额标准编制，预算与部门活动相匹配。2024年</w:t>
      </w:r>
      <w:r>
        <w:rPr>
          <w:rFonts w:hint="eastAsia" w:ascii="仿宋_GB2312" w:hAnsi="仿宋_GB2312" w:eastAsia="仿宋_GB2312"/>
          <w:b w:val="0"/>
          <w:sz w:val="32"/>
          <w:lang w:eastAsia="zh-CN"/>
        </w:rPr>
        <w:t>本单位</w:t>
      </w:r>
      <w:r>
        <w:rPr>
          <w:rFonts w:ascii="仿宋_GB2312" w:hAnsi="仿宋_GB2312" w:eastAsia="仿宋_GB2312"/>
          <w:b w:val="0"/>
          <w:sz w:val="32"/>
        </w:rPr>
        <w:t>牢固树立全面绩效管理理念，将预算绩效管理融入预算各类项目资金，将绩效理念融入预算各个层级，将绩效方法融入预算各项流程，严格按照政策要求编制部门整体支出绩效目标和项目支出绩效目标，切实实现预算编制有目标，确保了资金分配与绩效目标的一致性，实现预算绩效全覆盖。</w:t>
      </w:r>
      <w:r>
        <w:rPr>
          <w:rFonts w:hint="eastAsia" w:ascii="仿宋_GB2312" w:hAnsi="仿宋_GB2312" w:eastAsia="仿宋_GB2312"/>
          <w:b w:val="0"/>
          <w:sz w:val="32"/>
          <w:lang w:eastAsia="zh-CN"/>
        </w:rPr>
        <w:t>本单位</w:t>
      </w:r>
      <w:r>
        <w:rPr>
          <w:rFonts w:ascii="仿宋_GB2312" w:hAnsi="仿宋_GB2312" w:eastAsia="仿宋_GB2312"/>
          <w:b w:val="0"/>
          <w:sz w:val="32"/>
        </w:rPr>
        <w:t>项目实施紧扣各个环节，逐步推进，及时与职能部门跟踪项目进展，加强项目督办，充分调动职能部门的积极性，整体绩效完成情况较好。发现的问题及原因：1.单位内控职责不够细化，项目预算的绩效设定与实际的项目支出存在些许差距，争取在今后工作中准确把握项目资金支出，达到资金的最大效益；2.在资金申请工作中要积极主动联系财政部门确保资金及时落实到位，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开展提供帮助。三是从源头上</w:t>
      </w:r>
      <w:r>
        <w:rPr>
          <w:rFonts w:hint="eastAsia" w:ascii="仿宋_GB2312" w:hAnsi="仿宋_GB2312" w:eastAsia="仿宋_GB2312"/>
          <w:b w:val="0"/>
          <w:sz w:val="32"/>
          <w:lang w:eastAsia="zh-CN"/>
        </w:rPr>
        <w:t>强化</w:t>
      </w:r>
      <w:r>
        <w:rPr>
          <w:rFonts w:ascii="仿宋_GB2312" w:hAnsi="仿宋_GB2312" w:eastAsia="仿宋_GB2312"/>
          <w:b w:val="0"/>
          <w:sz w:val="32"/>
        </w:rPr>
        <w:t>专项资金预算管理，实行专项资金预算管理，结合单位实际,按轻重缓急统筹安排编制预算,提高预算编制科学性和合理性，优化资金结构。具体附整体支出绩效自评表，项目支出绩效自评表和评价报告。</w:t>
      </w:r>
    </w:p>
    <w:p w14:paraId="137FA50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6B237DE">
        <w:tblPrEx>
          <w:tblCellMar>
            <w:top w:w="0" w:type="dxa"/>
            <w:left w:w="108" w:type="dxa"/>
            <w:bottom w:w="0" w:type="dxa"/>
            <w:right w:w="108" w:type="dxa"/>
          </w:tblCellMar>
        </w:tblPrEx>
        <w:tc>
          <w:tcPr>
            <w:tcW w:w="8847" w:type="dxa"/>
            <w:gridSpan w:val="9"/>
            <w:vAlign w:val="center"/>
          </w:tcPr>
          <w:p w14:paraId="0DAA70B7">
            <w:pPr>
              <w:jc w:val="center"/>
            </w:pPr>
            <w:r>
              <w:rPr>
                <w:rFonts w:ascii="宋体" w:hAnsi="宋体" w:eastAsia="宋体"/>
                <w:sz w:val="24"/>
              </w:rPr>
              <w:t>单位整体支出绩效自评表</w:t>
            </w:r>
          </w:p>
        </w:tc>
      </w:tr>
      <w:tr w14:paraId="3AB0B174">
        <w:tblPrEx>
          <w:tblCellMar>
            <w:top w:w="0" w:type="dxa"/>
            <w:left w:w="108" w:type="dxa"/>
            <w:bottom w:w="0" w:type="dxa"/>
            <w:right w:w="108" w:type="dxa"/>
          </w:tblCellMar>
        </w:tblPrEx>
        <w:tc>
          <w:tcPr>
            <w:tcW w:w="8847" w:type="dxa"/>
            <w:gridSpan w:val="9"/>
            <w:vAlign w:val="center"/>
          </w:tcPr>
          <w:p w14:paraId="52B70318">
            <w:pPr>
              <w:jc w:val="center"/>
            </w:pPr>
            <w:r>
              <w:rPr>
                <w:rFonts w:ascii="宋体" w:hAnsi="宋体" w:eastAsia="宋体"/>
                <w:sz w:val="24"/>
              </w:rPr>
              <w:t>（2024年度）</w:t>
            </w:r>
          </w:p>
        </w:tc>
      </w:tr>
      <w:tr w14:paraId="573A09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0893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ABD17B">
            <w:pPr>
              <w:jc w:val="center"/>
            </w:pPr>
            <w:r>
              <w:rPr>
                <w:rFonts w:ascii="宋体" w:hAnsi="宋体" w:eastAsia="宋体"/>
                <w:sz w:val="16"/>
              </w:rPr>
              <w:t>吉木萨尔县人民法院</w:t>
            </w:r>
          </w:p>
        </w:tc>
      </w:tr>
      <w:tr w14:paraId="518A36A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F6D9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179E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21FD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BF6A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55A2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A79E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2928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4A375">
            <w:pPr>
              <w:jc w:val="center"/>
            </w:pPr>
            <w:r>
              <w:rPr>
                <w:rFonts w:ascii="宋体" w:hAnsi="宋体" w:eastAsia="宋体"/>
                <w:sz w:val="16"/>
              </w:rPr>
              <w:t>得分</w:t>
            </w:r>
          </w:p>
        </w:tc>
      </w:tr>
      <w:tr w14:paraId="4A494F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F1A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C54C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772D2">
            <w:pPr>
              <w:jc w:val="center"/>
            </w:pPr>
            <w:r>
              <w:rPr>
                <w:rFonts w:ascii="宋体" w:hAnsi="宋体" w:eastAsia="宋体"/>
                <w:sz w:val="16"/>
              </w:rPr>
              <w:t>245.47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B4DAE">
            <w:pPr>
              <w:jc w:val="center"/>
            </w:pPr>
            <w:r>
              <w:rPr>
                <w:rFonts w:ascii="宋体" w:hAnsi="宋体" w:eastAsia="宋体"/>
                <w:sz w:val="16"/>
              </w:rPr>
              <w:t>369.11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E27FA">
            <w:pPr>
              <w:jc w:val="center"/>
            </w:pPr>
            <w:r>
              <w:rPr>
                <w:rFonts w:ascii="宋体" w:hAnsi="宋体" w:eastAsia="宋体"/>
                <w:sz w:val="16"/>
              </w:rPr>
              <w:t>322.26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E67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668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D61B6">
            <w:pPr>
              <w:jc w:val="center"/>
            </w:pPr>
            <w:r>
              <w:rPr>
                <w:rFonts w:ascii="宋体" w:hAnsi="宋体" w:eastAsia="宋体"/>
                <w:sz w:val="16"/>
              </w:rPr>
              <w:t>-</w:t>
            </w:r>
          </w:p>
        </w:tc>
      </w:tr>
      <w:tr w14:paraId="07A502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FFAD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3153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6DF11">
            <w:pPr>
              <w:jc w:val="center"/>
            </w:pPr>
            <w:r>
              <w:rPr>
                <w:rFonts w:ascii="宋体" w:hAnsi="宋体" w:eastAsia="宋体"/>
                <w:sz w:val="16"/>
              </w:rPr>
              <w:t>1,709.44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A39F2">
            <w:pPr>
              <w:jc w:val="center"/>
            </w:pPr>
            <w:r>
              <w:rPr>
                <w:rFonts w:ascii="宋体" w:hAnsi="宋体" w:eastAsia="宋体"/>
                <w:sz w:val="16"/>
              </w:rPr>
              <w:t>1,754.23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82E30">
            <w:pPr>
              <w:jc w:val="center"/>
            </w:pPr>
            <w:r>
              <w:rPr>
                <w:rFonts w:ascii="宋体" w:hAnsi="宋体" w:eastAsia="宋体"/>
                <w:sz w:val="16"/>
              </w:rPr>
              <w:t>1,801.09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488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BB2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4C84A">
            <w:pPr>
              <w:jc w:val="center"/>
            </w:pPr>
            <w:r>
              <w:rPr>
                <w:rFonts w:ascii="宋体" w:hAnsi="宋体" w:eastAsia="宋体"/>
                <w:sz w:val="16"/>
              </w:rPr>
              <w:t>-</w:t>
            </w:r>
          </w:p>
        </w:tc>
      </w:tr>
      <w:tr w14:paraId="2786F7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359D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24DB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8B0EA">
            <w:pPr>
              <w:jc w:val="center"/>
            </w:pPr>
            <w:r>
              <w:rPr>
                <w:rFonts w:ascii="宋体" w:hAnsi="宋体" w:eastAsia="宋体"/>
                <w:sz w:val="16"/>
              </w:rPr>
              <w:t>49.46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9A704">
            <w:pPr>
              <w:jc w:val="center"/>
            </w:pPr>
            <w:r>
              <w:rPr>
                <w:rFonts w:ascii="宋体" w:hAnsi="宋体" w:eastAsia="宋体"/>
                <w:sz w:val="16"/>
              </w:rPr>
              <w:t>99.29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64F55">
            <w:pPr>
              <w:jc w:val="center"/>
            </w:pPr>
            <w:r>
              <w:rPr>
                <w:rFonts w:ascii="宋体" w:hAnsi="宋体" w:eastAsia="宋体"/>
                <w:sz w:val="16"/>
              </w:rPr>
              <w:t>47.18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9FA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B59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EBA4A">
            <w:pPr>
              <w:jc w:val="center"/>
            </w:pPr>
            <w:r>
              <w:rPr>
                <w:rFonts w:ascii="宋体" w:hAnsi="宋体" w:eastAsia="宋体"/>
                <w:sz w:val="16"/>
              </w:rPr>
              <w:t>-</w:t>
            </w:r>
          </w:p>
        </w:tc>
      </w:tr>
      <w:tr w14:paraId="00A68D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09F1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A486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616C8">
            <w:pPr>
              <w:jc w:val="center"/>
            </w:pPr>
            <w:r>
              <w:rPr>
                <w:rFonts w:ascii="宋体" w:hAnsi="宋体" w:eastAsia="宋体"/>
                <w:sz w:val="16"/>
              </w:rPr>
              <w:t>2,004.37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89B9B">
            <w:pPr>
              <w:jc w:val="center"/>
            </w:pPr>
            <w:r>
              <w:rPr>
                <w:rFonts w:ascii="宋体" w:hAnsi="宋体" w:eastAsia="宋体"/>
                <w:sz w:val="16"/>
              </w:rPr>
              <w:t>2,222.63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54462">
            <w:pPr>
              <w:jc w:val="center"/>
            </w:pPr>
            <w:r>
              <w:rPr>
                <w:rFonts w:ascii="宋体" w:hAnsi="宋体" w:eastAsia="宋体"/>
                <w:sz w:val="16"/>
              </w:rPr>
              <w:t>2,170.53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5AB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B984D">
            <w:pPr>
              <w:jc w:val="center"/>
            </w:pPr>
            <w:r>
              <w:rPr>
                <w:rFonts w:ascii="宋体" w:hAnsi="宋体" w:eastAsia="宋体"/>
                <w:sz w:val="16"/>
              </w:rPr>
              <w:t>97.66%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286CC">
            <w:pPr>
              <w:jc w:val="center"/>
            </w:pPr>
            <w:r>
              <w:rPr>
                <w:rFonts w:ascii="宋体" w:hAnsi="宋体" w:eastAsia="宋体"/>
                <w:sz w:val="16"/>
              </w:rPr>
              <w:t>9.77</w:t>
            </w:r>
          </w:p>
        </w:tc>
      </w:tr>
      <w:tr w14:paraId="3B2F65A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1E6A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5A9E2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45E979">
            <w:pPr>
              <w:jc w:val="center"/>
            </w:pPr>
            <w:r>
              <w:rPr>
                <w:rFonts w:ascii="宋体" w:hAnsi="宋体" w:eastAsia="宋体"/>
                <w:sz w:val="16"/>
              </w:rPr>
              <w:t>实际完成情况</w:t>
            </w:r>
          </w:p>
        </w:tc>
      </w:tr>
      <w:tr w14:paraId="6903A8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1E8F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E43B05">
            <w:pPr>
              <w:jc w:val="both"/>
            </w:pPr>
            <w:r>
              <w:rPr>
                <w:rFonts w:ascii="宋体" w:hAnsi="宋体" w:eastAsia="宋体"/>
                <w:sz w:val="16"/>
              </w:rPr>
              <w:t>筑牢政治忠诚，以更强担当建设平安昌吉，以更实举措优化营商环境，以更优服务践行司法为民，以更新理念深化配套改革，以更大力度加强队伍建设，努力为推进中国式现代化和建设团结和谐、繁荣富裕、文明进步、生态良好的美好新疆、美好吉木萨尔提供坚实司法服务和保障。2024年，落实网上立案率不低于50%，诉讼案件审限内结案率不低于85.53%，平均结案时间不高于82.14天，民商事案件调解率高于30%，诉前调解案件达到民事收案的30%，首次执行案件实际执行完毕率不低于30%，首次执行案件终本率不低于20%，首次执行案件到位率不低于45%的目标任务，加大干警培训力度，提升干警业务能力和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AAD46">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全年预算数为2,222.63万元，全年执行数为2,170.53万元，总预算执行率为97.66%。2024年</w:t>
            </w:r>
            <w:r>
              <w:rPr>
                <w:rFonts w:hint="eastAsia" w:ascii="宋体" w:hAnsi="宋体"/>
                <w:sz w:val="16"/>
                <w:lang w:eastAsia="zh-CN"/>
              </w:rPr>
              <w:t>本单位</w:t>
            </w:r>
            <w:r>
              <w:rPr>
                <w:rFonts w:ascii="宋体" w:hAnsi="宋体" w:eastAsia="宋体"/>
                <w:sz w:val="16"/>
              </w:rPr>
              <w:t>完成以下工作内容：1.干警培训40次；2.网上立案率达到50.66%；3.国产计算机更新替代25台；4.支付及时率达到100%；5.验收合格率达到100%；6.案件执行完比率达到38.55%；7.案件审限内结案率达到93.95%。通过以上工作的实施，加大干警培训力度，提升干警业务能力和水平。</w:t>
            </w:r>
          </w:p>
        </w:tc>
      </w:tr>
      <w:tr w14:paraId="4FF28B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8018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9B65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8955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4839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307D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A4C0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E0FE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8A2C5">
            <w:pPr>
              <w:jc w:val="center"/>
            </w:pPr>
            <w:r>
              <w:rPr>
                <w:rFonts w:ascii="宋体" w:hAnsi="宋体" w:eastAsia="宋体"/>
                <w:sz w:val="16"/>
              </w:rPr>
              <w:t>得分</w:t>
            </w:r>
          </w:p>
        </w:tc>
      </w:tr>
      <w:tr w14:paraId="592954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8CD5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0B8A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0900F">
            <w:pPr>
              <w:jc w:val="center"/>
            </w:pPr>
            <w:r>
              <w:rPr>
                <w:rFonts w:ascii="宋体" w:hAnsi="宋体" w:eastAsia="宋体"/>
                <w:sz w:val="16"/>
              </w:rPr>
              <w:t>干警培训次数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C269C">
            <w:pPr>
              <w:jc w:val="center"/>
            </w:pPr>
            <w:r>
              <w:rPr>
                <w:rFonts w:ascii="宋体" w:hAnsi="宋体" w:eastAsia="宋体"/>
                <w:sz w:val="16"/>
              </w:rPr>
              <w:t>&gt;=40次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1C2DB">
            <w:pPr>
              <w:jc w:val="center"/>
            </w:pPr>
            <w:r>
              <w:rPr>
                <w:rFonts w:ascii="宋体" w:hAnsi="宋体" w:eastAsia="宋体"/>
                <w:sz w:val="16"/>
              </w:rPr>
              <w:t>新疆法官学院2024年集中培训计划汇总表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63CF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51DE7">
            <w:pPr>
              <w:jc w:val="center"/>
            </w:pPr>
            <w:r>
              <w:rPr>
                <w:rFonts w:ascii="宋体" w:hAnsi="宋体" w:eastAsia="宋体"/>
                <w:sz w:val="16"/>
              </w:rPr>
              <w:t>=40次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52E38">
            <w:pPr>
              <w:jc w:val="center"/>
            </w:pPr>
            <w:r>
              <w:rPr>
                <w:rFonts w:ascii="宋体" w:hAnsi="宋体" w:eastAsia="宋体"/>
                <w:sz w:val="16"/>
              </w:rPr>
              <w:t>20</w:t>
            </w:r>
          </w:p>
        </w:tc>
      </w:tr>
      <w:tr w14:paraId="693D76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33D5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A93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87EEB">
            <w:pPr>
              <w:jc w:val="center"/>
            </w:pPr>
            <w:r>
              <w:rPr>
                <w:rFonts w:ascii="宋体" w:hAnsi="宋体" w:eastAsia="宋体"/>
                <w:sz w:val="16"/>
              </w:rPr>
              <w:t>网上立案率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0D5B3">
            <w:pPr>
              <w:jc w:val="center"/>
            </w:pPr>
            <w:r>
              <w:rPr>
                <w:rFonts w:ascii="宋体" w:hAnsi="宋体" w:eastAsia="宋体"/>
                <w:sz w:val="16"/>
              </w:rPr>
              <w:t>&gt;=50%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236A0">
            <w:pPr>
              <w:jc w:val="center"/>
            </w:pPr>
            <w:r>
              <w:rPr>
                <w:rFonts w:ascii="宋体" w:hAnsi="宋体" w:eastAsia="宋体"/>
                <w:sz w:val="16"/>
              </w:rPr>
              <w:t>吉木萨尔县人民法院2024年重点工作计划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9068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68535">
            <w:pPr>
              <w:jc w:val="center"/>
            </w:pPr>
            <w:r>
              <w:rPr>
                <w:rFonts w:ascii="宋体" w:hAnsi="宋体" w:eastAsia="宋体"/>
                <w:sz w:val="16"/>
              </w:rPr>
              <w:t>=50.66%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2EF9A">
            <w:pPr>
              <w:jc w:val="center"/>
            </w:pPr>
            <w:r>
              <w:rPr>
                <w:rFonts w:ascii="宋体" w:hAnsi="宋体" w:eastAsia="宋体"/>
                <w:sz w:val="16"/>
              </w:rPr>
              <w:t>20</w:t>
            </w:r>
          </w:p>
        </w:tc>
      </w:tr>
      <w:tr w14:paraId="5E2D66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1A40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63C7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366CF">
            <w:pPr>
              <w:jc w:val="center"/>
            </w:pPr>
            <w:r>
              <w:rPr>
                <w:rFonts w:ascii="宋体" w:hAnsi="宋体" w:eastAsia="宋体"/>
                <w:sz w:val="16"/>
              </w:rPr>
              <w:t>国产计算机更新替代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2F13E">
            <w:pPr>
              <w:jc w:val="center"/>
            </w:pPr>
            <w:r>
              <w:rPr>
                <w:rFonts w:ascii="宋体" w:hAnsi="宋体" w:eastAsia="宋体"/>
                <w:sz w:val="16"/>
              </w:rPr>
              <w:t>&gt;=37台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349B3">
            <w:pPr>
              <w:jc w:val="center"/>
            </w:pPr>
            <w:r>
              <w:rPr>
                <w:rFonts w:ascii="宋体" w:hAnsi="宋体" w:eastAsia="宋体"/>
                <w:sz w:val="16"/>
              </w:rPr>
              <w:t>吉木萨尔县人民法院2024年重点工作计划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F88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C6C22">
            <w:pPr>
              <w:jc w:val="center"/>
            </w:pPr>
            <w:r>
              <w:rPr>
                <w:rFonts w:ascii="宋体" w:hAnsi="宋体" w:eastAsia="宋体"/>
                <w:sz w:val="16"/>
              </w:rPr>
              <w:t>=25台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8E29F">
            <w:pPr>
              <w:jc w:val="center"/>
            </w:pPr>
            <w:r>
              <w:rPr>
                <w:rFonts w:ascii="宋体" w:hAnsi="宋体" w:eastAsia="宋体"/>
                <w:sz w:val="16"/>
              </w:rPr>
              <w:t>6.76</w:t>
            </w:r>
          </w:p>
        </w:tc>
      </w:tr>
      <w:tr w14:paraId="523740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1D504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27663">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B5642">
            <w:pPr>
              <w:jc w:val="center"/>
            </w:pPr>
            <w:r>
              <w:rPr>
                <w:rFonts w:ascii="宋体" w:hAnsi="宋体" w:eastAsia="宋体"/>
                <w:sz w:val="16"/>
              </w:rPr>
              <w:t>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2EE99">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2CB08">
            <w:pPr>
              <w:jc w:val="center"/>
            </w:pPr>
            <w:r>
              <w:rPr>
                <w:rFonts w:ascii="宋体" w:hAnsi="宋体" w:eastAsia="宋体"/>
                <w:sz w:val="16"/>
              </w:rPr>
              <w:t>吉木萨尔县人民法院2024年重点工作计划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FE3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D326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426D1">
            <w:pPr>
              <w:jc w:val="center"/>
            </w:pPr>
            <w:r>
              <w:rPr>
                <w:rFonts w:ascii="宋体" w:hAnsi="宋体" w:eastAsia="宋体"/>
                <w:sz w:val="16"/>
              </w:rPr>
              <w:t>10</w:t>
            </w:r>
          </w:p>
        </w:tc>
      </w:tr>
      <w:tr w14:paraId="5BD85D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18FB0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B6B13">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A0C9D">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DC4C2">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1FE3F">
            <w:pPr>
              <w:jc w:val="center"/>
            </w:pPr>
            <w:r>
              <w:rPr>
                <w:rFonts w:ascii="宋体" w:hAnsi="宋体" w:eastAsia="宋体"/>
                <w:sz w:val="16"/>
              </w:rPr>
              <w:t>吉木萨尔县人民法院2024年重点工作计划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EEC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CE66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AD6F4">
            <w:pPr>
              <w:jc w:val="center"/>
            </w:pPr>
            <w:r>
              <w:rPr>
                <w:rFonts w:ascii="宋体" w:hAnsi="宋体" w:eastAsia="宋体"/>
                <w:sz w:val="16"/>
              </w:rPr>
              <w:t>10</w:t>
            </w:r>
          </w:p>
        </w:tc>
      </w:tr>
      <w:tr w14:paraId="0DADCF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5C6E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C8D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CD595">
            <w:pPr>
              <w:jc w:val="center"/>
            </w:pPr>
            <w:r>
              <w:rPr>
                <w:rFonts w:ascii="宋体" w:hAnsi="宋体" w:eastAsia="宋体"/>
                <w:sz w:val="16"/>
              </w:rPr>
              <w:t>执行完毕率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3558B">
            <w:pPr>
              <w:jc w:val="center"/>
            </w:pPr>
            <w:r>
              <w:rPr>
                <w:rFonts w:ascii="宋体" w:hAnsi="宋体" w:eastAsia="宋体"/>
                <w:sz w:val="16"/>
              </w:rPr>
              <w:t>&gt;=32.22%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44E72">
            <w:pPr>
              <w:jc w:val="center"/>
            </w:pPr>
            <w:r>
              <w:rPr>
                <w:rFonts w:ascii="宋体" w:hAnsi="宋体" w:eastAsia="宋体"/>
                <w:sz w:val="16"/>
              </w:rPr>
              <w:t>人民法院审判质量管理指标体系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585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9BBBD">
            <w:pPr>
              <w:jc w:val="center"/>
            </w:pPr>
            <w:r>
              <w:rPr>
                <w:rFonts w:ascii="宋体" w:hAnsi="宋体" w:eastAsia="宋体"/>
                <w:sz w:val="16"/>
              </w:rPr>
              <w:t>=38.55%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1D2A2">
            <w:pPr>
              <w:jc w:val="center"/>
            </w:pPr>
            <w:r>
              <w:rPr>
                <w:rFonts w:ascii="宋体" w:hAnsi="宋体" w:eastAsia="宋体"/>
                <w:sz w:val="16"/>
              </w:rPr>
              <w:t>10</w:t>
            </w:r>
          </w:p>
        </w:tc>
      </w:tr>
      <w:tr w14:paraId="3593EA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7C9A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082A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350E4">
            <w:pPr>
              <w:jc w:val="center"/>
            </w:pPr>
            <w:r>
              <w:rPr>
                <w:rFonts w:ascii="宋体" w:hAnsi="宋体" w:eastAsia="宋体"/>
                <w:sz w:val="16"/>
              </w:rPr>
              <w:t>审限内结案率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940AC">
            <w:pPr>
              <w:jc w:val="center"/>
            </w:pPr>
            <w:r>
              <w:rPr>
                <w:rFonts w:ascii="宋体" w:hAnsi="宋体" w:eastAsia="宋体"/>
                <w:sz w:val="16"/>
              </w:rPr>
              <w:t>&gt;=89.99%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258AE">
            <w:pPr>
              <w:jc w:val="center"/>
            </w:pPr>
            <w:r>
              <w:rPr>
                <w:rFonts w:ascii="宋体" w:hAnsi="宋体" w:eastAsia="宋体"/>
                <w:sz w:val="16"/>
              </w:rPr>
              <w:t>人民法院审判质量管理指标体系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DA7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A84A7">
            <w:pPr>
              <w:jc w:val="center"/>
            </w:pPr>
            <w:r>
              <w:rPr>
                <w:rFonts w:ascii="宋体" w:hAnsi="宋体" w:eastAsia="宋体"/>
                <w:sz w:val="16"/>
              </w:rPr>
              <w:t>=93.95%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C0E4E">
            <w:pPr>
              <w:jc w:val="center"/>
            </w:pPr>
            <w:r>
              <w:rPr>
                <w:rFonts w:ascii="宋体" w:hAnsi="宋体" w:eastAsia="宋体"/>
                <w:sz w:val="16"/>
              </w:rPr>
              <w:t>10</w:t>
            </w:r>
          </w:p>
        </w:tc>
      </w:tr>
    </w:tbl>
    <w:p w14:paraId="7342D5CD">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776"/>
        <w:gridCol w:w="696"/>
        <w:gridCol w:w="776"/>
        <w:gridCol w:w="631"/>
        <w:gridCol w:w="615"/>
        <w:gridCol w:w="615"/>
        <w:gridCol w:w="615"/>
        <w:gridCol w:w="615"/>
        <w:gridCol w:w="631"/>
      </w:tblGrid>
      <w:tr w14:paraId="303669A6">
        <w:tc>
          <w:tcPr>
            <w:tcW w:w="8848" w:type="dxa"/>
            <w:gridSpan w:val="14"/>
            <w:vAlign w:val="center"/>
          </w:tcPr>
          <w:p w14:paraId="1A59CEEB">
            <w:pPr>
              <w:jc w:val="center"/>
            </w:pPr>
            <w:r>
              <w:rPr>
                <w:rFonts w:ascii="宋体" w:hAnsi="宋体" w:eastAsia="宋体"/>
                <w:sz w:val="24"/>
              </w:rPr>
              <w:t>项目支出绩效自评表</w:t>
            </w:r>
          </w:p>
        </w:tc>
      </w:tr>
      <w:tr w14:paraId="374C2E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8A14D4">
            <w:pPr>
              <w:jc w:val="center"/>
            </w:pPr>
            <w:r>
              <w:rPr>
                <w:rFonts w:ascii="宋体" w:hAnsi="宋体" w:eastAsia="宋体"/>
                <w:sz w:val="24"/>
              </w:rPr>
              <w:t>(2024年度)</w:t>
            </w:r>
          </w:p>
        </w:tc>
      </w:tr>
      <w:tr w14:paraId="17D68B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80B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64A779">
            <w:pPr>
              <w:jc w:val="center"/>
            </w:pPr>
            <w:r>
              <w:rPr>
                <w:rFonts w:ascii="宋体" w:hAnsi="宋体" w:eastAsia="宋体"/>
                <w:sz w:val="16"/>
              </w:rPr>
              <w:t>机关运行补助（自有资金）</w:t>
            </w:r>
          </w:p>
        </w:tc>
      </w:tr>
      <w:tr w14:paraId="36E69B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B8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9D177E">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3B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846690">
            <w:pPr>
              <w:jc w:val="center"/>
            </w:pPr>
            <w:r>
              <w:rPr>
                <w:rFonts w:ascii="宋体" w:hAnsi="宋体" w:eastAsia="宋体"/>
                <w:sz w:val="16"/>
              </w:rPr>
              <w:t>吉木萨尔县人民法院</w:t>
            </w:r>
          </w:p>
        </w:tc>
      </w:tr>
      <w:tr w14:paraId="4FE08B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53BA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EE1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4BB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7F7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AD2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8F0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DAA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456B">
            <w:pPr>
              <w:jc w:val="center"/>
            </w:pPr>
            <w:r>
              <w:rPr>
                <w:rFonts w:ascii="宋体" w:hAnsi="宋体" w:eastAsia="宋体"/>
                <w:sz w:val="16"/>
              </w:rPr>
              <w:t>得分</w:t>
            </w:r>
          </w:p>
        </w:tc>
      </w:tr>
      <w:tr w14:paraId="3AEB45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0CB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6D0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C88B8">
            <w:pPr>
              <w:jc w:val="center"/>
            </w:pPr>
            <w:r>
              <w:rPr>
                <w:rFonts w:ascii="宋体" w:hAnsi="宋体" w:eastAsia="宋体"/>
                <w:sz w:val="16"/>
              </w:rPr>
              <w:t>49.46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FFA7">
            <w:pPr>
              <w:jc w:val="center"/>
            </w:pPr>
            <w:r>
              <w:rPr>
                <w:rFonts w:ascii="宋体" w:hAnsi="宋体" w:eastAsia="宋体"/>
                <w:sz w:val="16"/>
              </w:rPr>
              <w:t>49.46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AC38A">
            <w:pPr>
              <w:jc w:val="center"/>
            </w:pPr>
            <w:r>
              <w:rPr>
                <w:rFonts w:ascii="宋体" w:hAnsi="宋体" w:eastAsia="宋体"/>
                <w:sz w:val="16"/>
              </w:rPr>
              <w:t>47.19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E3C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D4F4F">
            <w:pPr>
              <w:jc w:val="center"/>
            </w:pPr>
            <w:r>
              <w:rPr>
                <w:rFonts w:ascii="宋体" w:hAnsi="宋体" w:eastAsia="宋体"/>
                <w:sz w:val="16"/>
              </w:rPr>
              <w:t>95.41%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1808">
            <w:pPr>
              <w:jc w:val="center"/>
            </w:pPr>
            <w:r>
              <w:rPr>
                <w:rFonts w:ascii="宋体" w:hAnsi="宋体" w:eastAsia="宋体"/>
                <w:sz w:val="16"/>
              </w:rPr>
              <w:t>10.00</w:t>
            </w:r>
          </w:p>
        </w:tc>
      </w:tr>
      <w:tr w14:paraId="7006B7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3EF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240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7DA92">
            <w:pPr>
              <w:jc w:val="center"/>
            </w:pPr>
            <w:r>
              <w:rPr>
                <w:rFonts w:ascii="宋体" w:hAnsi="宋体" w:eastAsia="宋体"/>
                <w:sz w:val="16"/>
              </w:rPr>
              <w:t>49.46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F1683">
            <w:pPr>
              <w:jc w:val="center"/>
            </w:pPr>
            <w:r>
              <w:rPr>
                <w:rFonts w:ascii="宋体" w:hAnsi="宋体" w:eastAsia="宋体"/>
                <w:sz w:val="16"/>
              </w:rPr>
              <w:t>49.46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935B2">
            <w:pPr>
              <w:jc w:val="center"/>
            </w:pPr>
            <w:r>
              <w:rPr>
                <w:rFonts w:ascii="宋体" w:hAnsi="宋体" w:eastAsia="宋体"/>
                <w:sz w:val="16"/>
              </w:rPr>
              <w:t>47.19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AE7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7F0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E364">
            <w:pPr>
              <w:jc w:val="center"/>
            </w:pPr>
            <w:r>
              <w:rPr>
                <w:rFonts w:ascii="宋体" w:hAnsi="宋体" w:eastAsia="宋体"/>
                <w:sz w:val="16"/>
              </w:rPr>
              <w:t>—</w:t>
            </w:r>
          </w:p>
        </w:tc>
      </w:tr>
      <w:tr w14:paraId="2E2DB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E38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5335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718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3E5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9BF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DC8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A9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2A6C">
            <w:pPr>
              <w:jc w:val="center"/>
            </w:pPr>
            <w:r>
              <w:rPr>
                <w:rFonts w:ascii="宋体" w:hAnsi="宋体" w:eastAsia="宋体"/>
                <w:sz w:val="16"/>
              </w:rPr>
              <w:t>—</w:t>
            </w:r>
          </w:p>
        </w:tc>
      </w:tr>
      <w:tr w14:paraId="52ED5D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F29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8792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87D253">
            <w:pPr>
              <w:jc w:val="center"/>
            </w:pPr>
            <w:r>
              <w:rPr>
                <w:rFonts w:ascii="宋体" w:hAnsi="宋体" w:eastAsia="宋体"/>
                <w:sz w:val="16"/>
              </w:rPr>
              <w:t>实际完成情况</w:t>
            </w:r>
          </w:p>
        </w:tc>
      </w:tr>
      <w:tr w14:paraId="482084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667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7D9F11">
            <w:pPr>
              <w:jc w:val="both"/>
            </w:pPr>
            <w:r>
              <w:rPr>
                <w:rFonts w:ascii="宋体" w:hAnsi="宋体" w:eastAsia="宋体"/>
                <w:sz w:val="16"/>
              </w:rPr>
              <w:t>吉木萨尔人民法院是国家的审判机关，对县人民代表大会及其常委会负责并报告工作，接受上级人民法院的监督和业务指导。其主要工作有：1、审判</w:t>
            </w:r>
            <w:r>
              <w:rPr>
                <w:rFonts w:hint="eastAsia" w:ascii="宋体" w:hAnsi="宋体"/>
                <w:sz w:val="16"/>
                <w:lang w:eastAsia="zh-CN"/>
              </w:rPr>
              <w:t>法律</w:t>
            </w:r>
            <w:r>
              <w:rPr>
                <w:rFonts w:ascii="宋体" w:hAnsi="宋体" w:eastAsia="宋体"/>
                <w:sz w:val="16"/>
              </w:rPr>
              <w:t>规定由</w:t>
            </w:r>
            <w:r>
              <w:rPr>
                <w:rFonts w:hint="eastAsia" w:ascii="宋体" w:hAnsi="宋体"/>
                <w:sz w:val="16"/>
                <w:lang w:eastAsia="zh-CN"/>
              </w:rPr>
              <w:t>县级</w:t>
            </w:r>
            <w:r>
              <w:rPr>
                <w:rFonts w:ascii="宋体" w:hAnsi="宋体" w:eastAsia="宋体"/>
                <w:sz w:val="16"/>
              </w:rPr>
              <w:t>人民法院管辖的刑事、民事、行政案件。2、审理由上级法院指定管辖的刑事、民事、行政案件。3、审理由上级法院交办的再审案件。4、依法行使司法执行权和司法决定权。5、依法决定国家赔偿。6、在审判工作中宣传法制、教育公民自觉遵守宪法、法律。吉木萨尔人民法院位于吉木萨尔县孚远路，核定编制69 人，实有人数64人，内设8个机构，派出机构3个（三台人民法庭、大有人民法庭、五彩湾法庭），为保障审判案件量大于等于8000件，案件质效得到提升，确保各项业务顺利开展，为审判质效提供强有力保障，司法公正力得到进一步提升，现根据业务工作开展情况，制定2024年机构运行经费工作计划，具体情况如下：</w:t>
            </w:r>
            <w:r>
              <w:rPr>
                <w:rFonts w:ascii="宋体" w:hAnsi="宋体" w:eastAsia="宋体"/>
                <w:sz w:val="16"/>
              </w:rPr>
              <w:br w:type="textWrapping"/>
            </w:r>
            <w:r>
              <w:rPr>
                <w:rFonts w:ascii="宋体" w:hAnsi="宋体" w:eastAsia="宋体"/>
                <w:sz w:val="16"/>
              </w:rPr>
              <w:t>1、零星维修保障法庭数量大于等于4个；2、安保服务保障期限大于等于12月；3、单位运转保障率100%;4、资金保障及时率100%；5、安保服务保障成本小于等于16.19万元；6、零星维修保障法庭成本小于等于7.81万元；7、单位资金运转成本小于等于25.46万元；8、干警对经费保障情况满意度大于等于90%；9、可长久维护社会稳定与长治久安；10、项目完成时限2024年1月1日--2024年12月31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C71947">
            <w:pPr>
              <w:jc w:val="both"/>
            </w:pPr>
            <w:r>
              <w:rPr>
                <w:rFonts w:ascii="宋体" w:hAnsi="宋体" w:eastAsia="宋体"/>
                <w:sz w:val="16"/>
              </w:rPr>
              <w:t>截至2024年12月31日,该项目实际完成零星维修保障法庭数量完成4个，通过该项目的实施，达到可长久维护社会稳定与长治久安的效果。</w:t>
            </w:r>
          </w:p>
        </w:tc>
      </w:tr>
      <w:tr w14:paraId="3AC80C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6CB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69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C5C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3E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6E1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043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622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BDBA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C8D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316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6B5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A65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90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4294">
            <w:pPr>
              <w:jc w:val="center"/>
            </w:pPr>
            <w:r>
              <w:rPr>
                <w:rFonts w:ascii="宋体" w:hAnsi="宋体" w:eastAsia="宋体"/>
                <w:sz w:val="16"/>
              </w:rPr>
              <w:t>偏差原因分析及改进措施</w:t>
            </w:r>
          </w:p>
        </w:tc>
      </w:tr>
      <w:tr w14:paraId="4DFCDD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610CA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381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F7A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2E7F">
            <w:pPr>
              <w:jc w:val="center"/>
            </w:pPr>
            <w:r>
              <w:rPr>
                <w:rFonts w:ascii="宋体" w:hAnsi="宋体" w:eastAsia="宋体"/>
                <w:sz w:val="16"/>
              </w:rPr>
              <w:t>零星维修保障法庭数量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B8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719DC">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BD60">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4B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19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B9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E2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DE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0E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DB06">
            <w:pPr>
              <w:jc w:val="center"/>
            </w:pPr>
          </w:p>
        </w:tc>
      </w:tr>
      <w:tr w14:paraId="1CCB3E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A99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090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AA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E0EB4">
            <w:pPr>
              <w:jc w:val="center"/>
            </w:pPr>
            <w:r>
              <w:rPr>
                <w:rFonts w:ascii="宋体" w:hAnsi="宋体" w:eastAsia="宋体"/>
                <w:sz w:val="16"/>
              </w:rPr>
              <w:t>安保服务保障期限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BD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56BA8">
            <w:pPr>
              <w:jc w:val="center"/>
            </w:pPr>
            <w:r>
              <w:rPr>
                <w:rFonts w:ascii="宋体" w:hAnsi="宋体" w:eastAsia="宋体"/>
                <w:sz w:val="16"/>
              </w:rPr>
              <w:t>&gt;=12月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4FA6">
            <w:pPr>
              <w:jc w:val="center"/>
            </w:pP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A7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14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76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80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32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FB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BBD73">
            <w:pPr>
              <w:jc w:val="center"/>
            </w:pPr>
          </w:p>
        </w:tc>
      </w:tr>
      <w:tr w14:paraId="6D5DF0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AC8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A1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AC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792E">
            <w:pPr>
              <w:jc w:val="center"/>
            </w:pPr>
            <w:r>
              <w:rPr>
                <w:rFonts w:ascii="宋体" w:hAnsi="宋体" w:eastAsia="宋体"/>
                <w:sz w:val="16"/>
              </w:rPr>
              <w:t>单位运转保障率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68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479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2B4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9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4F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CDE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7A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36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E9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DD0ED">
            <w:pPr>
              <w:jc w:val="center"/>
            </w:pPr>
          </w:p>
        </w:tc>
      </w:tr>
      <w:tr w14:paraId="23741B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598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A93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D1C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624AF">
            <w:pPr>
              <w:jc w:val="center"/>
            </w:pPr>
            <w:r>
              <w:rPr>
                <w:rFonts w:ascii="宋体" w:hAnsi="宋体" w:eastAsia="宋体"/>
                <w:sz w:val="16"/>
              </w:rPr>
              <w:t>资金保障及时率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35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06C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3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A0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36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D7C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F6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46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E90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8344">
            <w:pPr>
              <w:jc w:val="center"/>
            </w:pPr>
          </w:p>
        </w:tc>
      </w:tr>
      <w:tr w14:paraId="520D73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5D2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E4CF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643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5468">
            <w:pPr>
              <w:jc w:val="center"/>
            </w:pPr>
            <w:r>
              <w:rPr>
                <w:rFonts w:ascii="宋体" w:hAnsi="宋体" w:eastAsia="宋体"/>
                <w:sz w:val="16"/>
              </w:rPr>
              <w:t>安保服务保障成本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A9E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86FE5">
            <w:pPr>
              <w:jc w:val="center"/>
            </w:pPr>
            <w:r>
              <w:rPr>
                <w:rFonts w:ascii="宋体" w:hAnsi="宋体" w:eastAsia="宋体"/>
                <w:sz w:val="16"/>
              </w:rPr>
              <w:t>&lt;=16.19万元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59A6">
            <w:pPr>
              <w:jc w:val="center"/>
            </w:pPr>
            <w:r>
              <w:rPr>
                <w:rFonts w:ascii="宋体" w:hAnsi="宋体" w:eastAsia="宋体"/>
                <w:sz w:val="16"/>
              </w:rPr>
              <w:t>=16.19万元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A7A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EFF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87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D46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FC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1C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E907">
            <w:pPr>
              <w:jc w:val="center"/>
            </w:pPr>
          </w:p>
        </w:tc>
      </w:tr>
      <w:tr w14:paraId="26451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91A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DB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5B7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30A9">
            <w:pPr>
              <w:jc w:val="center"/>
            </w:pPr>
            <w:r>
              <w:rPr>
                <w:rFonts w:ascii="宋体" w:hAnsi="宋体" w:eastAsia="宋体"/>
                <w:sz w:val="16"/>
              </w:rPr>
              <w:t>零星维修保障法庭成本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257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D398">
            <w:pPr>
              <w:jc w:val="center"/>
            </w:pPr>
            <w:r>
              <w:rPr>
                <w:rFonts w:ascii="宋体" w:hAnsi="宋体" w:eastAsia="宋体"/>
                <w:sz w:val="16"/>
              </w:rPr>
              <w:t>&lt;=7.81万元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B9C5">
            <w:pPr>
              <w:jc w:val="center"/>
            </w:pPr>
            <w:r>
              <w:rPr>
                <w:rFonts w:ascii="宋体" w:hAnsi="宋体" w:eastAsia="宋体"/>
                <w:sz w:val="16"/>
              </w:rPr>
              <w:t>=7.81万元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5B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542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46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31B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8F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7B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07196">
            <w:pPr>
              <w:jc w:val="center"/>
            </w:pPr>
          </w:p>
        </w:tc>
      </w:tr>
      <w:tr w14:paraId="7E93B9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E89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594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1C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6EB6">
            <w:pPr>
              <w:jc w:val="center"/>
            </w:pPr>
            <w:r>
              <w:rPr>
                <w:rFonts w:ascii="宋体" w:hAnsi="宋体" w:eastAsia="宋体"/>
                <w:sz w:val="16"/>
              </w:rPr>
              <w:t>其他日常运转成本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F5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D89B6">
            <w:pPr>
              <w:jc w:val="center"/>
            </w:pPr>
            <w:r>
              <w:rPr>
                <w:rFonts w:ascii="宋体" w:hAnsi="宋体" w:eastAsia="宋体"/>
                <w:sz w:val="16"/>
              </w:rPr>
              <w:t>&lt;=25.46万元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053F">
            <w:pPr>
              <w:jc w:val="center"/>
            </w:pPr>
            <w:r>
              <w:rPr>
                <w:rFonts w:ascii="宋体" w:hAnsi="宋体" w:eastAsia="宋体"/>
                <w:sz w:val="16"/>
              </w:rPr>
              <w:t>=23.18万元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EED19">
            <w:pPr>
              <w:jc w:val="center"/>
            </w:pPr>
            <w:r>
              <w:rPr>
                <w:rFonts w:ascii="宋体" w:hAnsi="宋体" w:eastAsia="宋体"/>
                <w:sz w:val="16"/>
              </w:rPr>
              <w:t>91.04%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D4FD6">
            <w:pPr>
              <w:jc w:val="center"/>
            </w:pPr>
            <w:r>
              <w:rPr>
                <w:rFonts w:ascii="宋体" w:hAnsi="宋体" w:eastAsia="宋体"/>
                <w:sz w:val="16"/>
              </w:rPr>
              <w:t>4.66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D1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811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82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1E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3A6F">
            <w:pPr>
              <w:jc w:val="center"/>
            </w:pPr>
            <w:r>
              <w:rPr>
                <w:rFonts w:hint="eastAsia" w:ascii="宋体" w:hAnsi="宋体"/>
                <w:sz w:val="16"/>
                <w:lang w:eastAsia="zh-CN"/>
              </w:rPr>
              <w:t>本单位</w:t>
            </w:r>
            <w:r>
              <w:rPr>
                <w:rFonts w:ascii="宋体" w:hAnsi="宋体" w:eastAsia="宋体"/>
                <w:sz w:val="16"/>
              </w:rPr>
              <w:t>其他日常运转成本未完成，主要是因为该项经费正在办理采购流程，后续将加快支付进度。</w:t>
            </w:r>
          </w:p>
        </w:tc>
      </w:tr>
      <w:tr w14:paraId="5867B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07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7E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473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3244">
            <w:pPr>
              <w:jc w:val="center"/>
            </w:pPr>
            <w:r>
              <w:rPr>
                <w:rFonts w:ascii="宋体" w:hAnsi="宋体" w:eastAsia="宋体"/>
                <w:sz w:val="16"/>
              </w:rPr>
              <w:t>可长久维护社会稳定与长治久安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D1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C2EC">
            <w:pPr>
              <w:jc w:val="center"/>
            </w:pPr>
            <w:r>
              <w:rPr>
                <w:rFonts w:ascii="宋体" w:hAnsi="宋体" w:eastAsia="宋体"/>
                <w:sz w:val="16"/>
              </w:rPr>
              <w:t>持续性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21C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AD8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7C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496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3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C2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11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C8F6C">
            <w:pPr>
              <w:jc w:val="center"/>
            </w:pPr>
          </w:p>
        </w:tc>
      </w:tr>
      <w:tr w14:paraId="0C4EB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23E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C3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FE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DA16">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A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8C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3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9F7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3C3F1">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5D8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2F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75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A2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B4D4E">
            <w:pPr>
              <w:jc w:val="center"/>
            </w:pPr>
            <w:r>
              <w:rPr>
                <w:rFonts w:ascii="宋体" w:hAnsi="宋体" w:eastAsia="宋体"/>
                <w:sz w:val="16"/>
              </w:rPr>
              <w:t>年初目标实施情况较低，年底实施较好，超额完成指标。</w:t>
            </w:r>
          </w:p>
        </w:tc>
      </w:tr>
      <w:tr w14:paraId="2B7046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A4C5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6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E9D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758E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4C2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4946">
            <w:pPr>
              <w:jc w:val="center"/>
            </w:pPr>
            <w:r>
              <w:rPr>
                <w:rFonts w:ascii="宋体" w:hAnsi="宋体" w:eastAsia="宋体"/>
                <w:sz w:val="16"/>
              </w:rPr>
              <w:t>97.55分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5C1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64A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147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4B0A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20C84"/>
        </w:tc>
      </w:tr>
    </w:tbl>
    <w:p w14:paraId="05288F0F">
      <w:r>
        <w:br w:type="page"/>
      </w:r>
    </w:p>
    <w:p w14:paraId="4BC1E3A4">
      <w:pPr>
        <w:spacing w:line="640" w:lineRule="exact"/>
        <w:ind w:firstLine="640"/>
        <w:jc w:val="both"/>
        <w:outlineLvl w:val="2"/>
      </w:pPr>
      <w:r>
        <w:rPr>
          <w:rFonts w:ascii="黑体" w:hAnsi="黑体" w:eastAsia="黑体"/>
          <w:sz w:val="32"/>
        </w:rPr>
        <w:t>十二、其他需说明的事项</w:t>
      </w:r>
    </w:p>
    <w:p w14:paraId="348FF441">
      <w:pPr>
        <w:spacing w:line="580" w:lineRule="exact"/>
        <w:ind w:firstLine="640"/>
        <w:jc w:val="both"/>
      </w:pPr>
      <w:r>
        <w:rPr>
          <w:rFonts w:ascii="仿宋_GB2312" w:hAnsi="仿宋_GB2312" w:eastAsia="仿宋_GB2312"/>
          <w:b w:val="0"/>
          <w:sz w:val="32"/>
        </w:rPr>
        <w:t>本年本单位SM项目1个，全年预算数</w:t>
      </w:r>
      <w:bookmarkStart w:id="0" w:name="_GoBack"/>
      <w:r>
        <w:rPr>
          <w:rFonts w:ascii="仿宋_GB2312" w:hAnsi="仿宋_GB2312" w:eastAsia="仿宋_GB2312"/>
          <w:b w:val="0"/>
          <w:sz w:val="32"/>
        </w:rPr>
        <w:t>312.26</w:t>
      </w:r>
      <w:bookmarkEnd w:id="0"/>
      <w:r>
        <w:rPr>
          <w:rFonts w:ascii="仿宋_GB2312" w:hAnsi="仿宋_GB2312" w:eastAsia="仿宋_GB2312"/>
          <w:b w:val="0"/>
          <w:sz w:val="32"/>
        </w:rPr>
        <w:t>万元，全年执行数312.26万元。</w:t>
      </w:r>
    </w:p>
    <w:p w14:paraId="587F0048">
      <w:r>
        <w:br w:type="page"/>
      </w:r>
    </w:p>
    <w:p w14:paraId="34421A7A">
      <w:pPr>
        <w:spacing w:line="240" w:lineRule="auto"/>
        <w:jc w:val="center"/>
        <w:outlineLvl w:val="1"/>
      </w:pPr>
      <w:r>
        <w:rPr>
          <w:rFonts w:ascii="黑体" w:hAnsi="黑体" w:eastAsia="黑体"/>
          <w:sz w:val="32"/>
        </w:rPr>
        <w:t>第三部分 专业名词解释</w:t>
      </w:r>
    </w:p>
    <w:p w14:paraId="7FB28D3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D81F1C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CF401B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0C85B5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D4E22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E9B5D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6CBE6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9B3D20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2927C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13F13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668404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B773E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2F6D7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0A3643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0C45787">
      <w:r>
        <w:br w:type="page"/>
      </w:r>
    </w:p>
    <w:p w14:paraId="369EFA13">
      <w:pPr>
        <w:spacing w:line="240" w:lineRule="auto"/>
        <w:jc w:val="center"/>
        <w:outlineLvl w:val="1"/>
      </w:pPr>
      <w:r>
        <w:rPr>
          <w:rFonts w:ascii="黑体" w:hAnsi="黑体" w:eastAsia="黑体"/>
          <w:sz w:val="32"/>
        </w:rPr>
        <w:t>第四部分 部门决算报表（见附表）</w:t>
      </w:r>
    </w:p>
    <w:p w14:paraId="38153EA4">
      <w:pPr>
        <w:spacing w:line="240" w:lineRule="auto"/>
        <w:ind w:firstLine="640"/>
        <w:jc w:val="both"/>
      </w:pPr>
      <w:r>
        <w:rPr>
          <w:rFonts w:ascii="仿宋_GB2312" w:hAnsi="仿宋_GB2312" w:eastAsia="仿宋_GB2312"/>
          <w:b w:val="0"/>
          <w:sz w:val="32"/>
        </w:rPr>
        <w:t>一、《收入支出决算总表》</w:t>
      </w:r>
    </w:p>
    <w:p w14:paraId="40D2D4CC">
      <w:pPr>
        <w:spacing w:line="240" w:lineRule="auto"/>
        <w:ind w:firstLine="640"/>
        <w:jc w:val="both"/>
      </w:pPr>
      <w:r>
        <w:rPr>
          <w:rFonts w:ascii="仿宋_GB2312" w:hAnsi="仿宋_GB2312" w:eastAsia="仿宋_GB2312"/>
          <w:b w:val="0"/>
          <w:sz w:val="32"/>
        </w:rPr>
        <w:t>二、《收入决算表》</w:t>
      </w:r>
    </w:p>
    <w:p w14:paraId="206812D5">
      <w:pPr>
        <w:spacing w:line="240" w:lineRule="auto"/>
        <w:ind w:firstLine="640"/>
        <w:jc w:val="both"/>
      </w:pPr>
      <w:r>
        <w:rPr>
          <w:rFonts w:ascii="仿宋_GB2312" w:hAnsi="仿宋_GB2312" w:eastAsia="仿宋_GB2312"/>
          <w:b w:val="0"/>
          <w:sz w:val="32"/>
        </w:rPr>
        <w:t>三、《支出决算表》</w:t>
      </w:r>
    </w:p>
    <w:p w14:paraId="435E1525">
      <w:pPr>
        <w:spacing w:line="240" w:lineRule="auto"/>
        <w:ind w:firstLine="640"/>
        <w:jc w:val="both"/>
      </w:pPr>
      <w:r>
        <w:rPr>
          <w:rFonts w:ascii="仿宋_GB2312" w:hAnsi="仿宋_GB2312" w:eastAsia="仿宋_GB2312"/>
          <w:b w:val="0"/>
          <w:sz w:val="32"/>
        </w:rPr>
        <w:t>四、《财政拨款收入支出决算总表》</w:t>
      </w:r>
    </w:p>
    <w:p w14:paraId="48833C13">
      <w:pPr>
        <w:spacing w:line="240" w:lineRule="auto"/>
        <w:ind w:firstLine="640"/>
        <w:jc w:val="both"/>
      </w:pPr>
      <w:r>
        <w:rPr>
          <w:rFonts w:ascii="仿宋_GB2312" w:hAnsi="仿宋_GB2312" w:eastAsia="仿宋_GB2312"/>
          <w:b w:val="0"/>
          <w:sz w:val="32"/>
        </w:rPr>
        <w:t>五、《一般公共预算财政拨款支出决算表》</w:t>
      </w:r>
    </w:p>
    <w:p w14:paraId="0D1DEA80">
      <w:pPr>
        <w:spacing w:line="240" w:lineRule="auto"/>
        <w:ind w:firstLine="640"/>
        <w:jc w:val="both"/>
      </w:pPr>
      <w:r>
        <w:rPr>
          <w:rFonts w:ascii="仿宋_GB2312" w:hAnsi="仿宋_GB2312" w:eastAsia="仿宋_GB2312"/>
          <w:b w:val="0"/>
          <w:sz w:val="32"/>
        </w:rPr>
        <w:t>六、《一般公共预算财政拨款基本支出决算表》</w:t>
      </w:r>
    </w:p>
    <w:p w14:paraId="2FEDEB89">
      <w:pPr>
        <w:spacing w:line="240" w:lineRule="auto"/>
        <w:ind w:firstLine="640"/>
        <w:jc w:val="both"/>
      </w:pPr>
      <w:r>
        <w:rPr>
          <w:rFonts w:ascii="仿宋_GB2312" w:hAnsi="仿宋_GB2312" w:eastAsia="仿宋_GB2312"/>
          <w:b w:val="0"/>
          <w:sz w:val="32"/>
        </w:rPr>
        <w:t>七、《政府性基金预算财政拨款收入支出决算表》</w:t>
      </w:r>
    </w:p>
    <w:p w14:paraId="2EC83D43">
      <w:pPr>
        <w:spacing w:line="240" w:lineRule="auto"/>
        <w:ind w:firstLine="640"/>
        <w:jc w:val="both"/>
      </w:pPr>
      <w:r>
        <w:rPr>
          <w:rFonts w:ascii="仿宋_GB2312" w:hAnsi="仿宋_GB2312" w:eastAsia="仿宋_GB2312"/>
          <w:b w:val="0"/>
          <w:sz w:val="32"/>
        </w:rPr>
        <w:t>八、《国有资本经营预算财政拨款收入支出决算表》</w:t>
      </w:r>
    </w:p>
    <w:p w14:paraId="31120C2C">
      <w:pPr>
        <w:spacing w:line="240" w:lineRule="auto"/>
        <w:ind w:firstLine="640"/>
        <w:jc w:val="both"/>
      </w:pPr>
      <w:r>
        <w:rPr>
          <w:rFonts w:ascii="仿宋_GB2312" w:hAnsi="仿宋_GB2312" w:eastAsia="仿宋_GB2312"/>
          <w:b w:val="0"/>
          <w:sz w:val="32"/>
        </w:rPr>
        <w:t>九、《财政拨款“三公”经费支出决算表》</w:t>
      </w:r>
    </w:p>
    <w:p w14:paraId="1C578023">
      <w:pPr>
        <w:spacing w:line="240" w:lineRule="auto"/>
        <w:ind w:firstLine="640"/>
        <w:jc w:val="both"/>
      </w:pPr>
    </w:p>
    <w:p w14:paraId="425990CE">
      <w:pPr>
        <w:spacing w:line="240" w:lineRule="auto"/>
        <w:ind w:firstLine="640"/>
        <w:jc w:val="both"/>
      </w:pPr>
    </w:p>
    <w:p w14:paraId="39B67567">
      <w:pPr>
        <w:spacing w:line="240" w:lineRule="auto"/>
        <w:ind w:firstLine="640"/>
        <w:jc w:val="both"/>
      </w:pPr>
    </w:p>
    <w:p w14:paraId="74F84462">
      <w:pPr>
        <w:spacing w:line="240" w:lineRule="auto"/>
        <w:ind w:firstLine="640"/>
        <w:jc w:val="both"/>
      </w:pPr>
    </w:p>
    <w:p w14:paraId="6A6D1E1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210EEE"/>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7D7AA4"/>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6045</Words>
  <Characters>7025</Characters>
  <Lines>0</Lines>
  <Paragraphs>0</Paragraphs>
  <TotalTime>4</TotalTime>
  <ScaleCrop>false</ScaleCrop>
  <LinksUpToDate>false</LinksUpToDate>
  <CharactersWithSpaces>7034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