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玛纳斯县人民法院2024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C19343A">
      <w:r>
        <w:br w:type="page"/>
      </w:r>
    </w:p>
    <w:p w14:paraId="3967FDDA">
      <w:pPr>
        <w:spacing w:line="640" w:lineRule="exact"/>
        <w:jc w:val="center"/>
        <w:outlineLvl w:val="1"/>
      </w:pPr>
      <w:r>
        <w:rPr>
          <w:rFonts w:ascii="黑体" w:hAnsi="黑体" w:eastAsia="黑体"/>
          <w:sz w:val="32"/>
        </w:rPr>
        <w:t>第一部分 单位概况</w:t>
      </w:r>
    </w:p>
    <w:p w14:paraId="5915306C">
      <w:pPr>
        <w:spacing w:line="640" w:lineRule="exact"/>
        <w:ind w:firstLine="640"/>
        <w:jc w:val="both"/>
        <w:outlineLvl w:val="2"/>
      </w:pPr>
      <w:r>
        <w:rPr>
          <w:rFonts w:ascii="黑体" w:hAnsi="黑体" w:eastAsia="黑体"/>
          <w:sz w:val="32"/>
        </w:rPr>
        <w:t>一、主要职能</w:t>
      </w:r>
    </w:p>
    <w:p w14:paraId="50858C03">
      <w:pPr>
        <w:spacing w:line="580" w:lineRule="exact"/>
        <w:ind w:firstLine="640"/>
        <w:jc w:val="both"/>
      </w:pPr>
      <w:r>
        <w:rPr>
          <w:rFonts w:ascii="仿宋_GB2312" w:hAnsi="仿宋_GB2312" w:eastAsia="仿宋_GB2312"/>
          <w:sz w:val="32"/>
        </w:rPr>
        <w:t>玛纳斯县人民法院是国家的审判机关，在县委和中级人民法院的指导下，依法独立行使审判权，对县人民代表大会及其常委会负责并报告工作。</w:t>
      </w:r>
    </w:p>
    <w:p w14:paraId="6A24F1DA">
      <w:pPr>
        <w:spacing w:line="580" w:lineRule="exact"/>
        <w:ind w:firstLine="640"/>
        <w:jc w:val="both"/>
      </w:pPr>
      <w:r>
        <w:rPr>
          <w:rFonts w:ascii="仿宋_GB2312" w:hAnsi="仿宋_GB2312" w:eastAsia="仿宋_GB2312"/>
          <w:sz w:val="32"/>
        </w:rPr>
        <w:t>（1）依法审理法律规定由基层人民法院管辖、中级人民法院指定管辖或者认为应当由本法院审理的刑事、民事、行政等一审案件。</w:t>
      </w:r>
    </w:p>
    <w:p w14:paraId="35E016B1">
      <w:pPr>
        <w:spacing w:line="580" w:lineRule="exact"/>
        <w:ind w:firstLine="640"/>
        <w:jc w:val="both"/>
      </w:pPr>
      <w:r>
        <w:rPr>
          <w:rFonts w:ascii="仿宋_GB2312" w:hAnsi="仿宋_GB2312" w:eastAsia="仿宋_GB2312"/>
          <w:sz w:val="32"/>
        </w:rPr>
        <w:t>（2）依法审理中级人民法院指定再审的案件和县人民检察院抗诉的案件。受理当事人不服本院发生法律效力的判决、裁定并提起申诉的刑事、行政诉讼案件。</w:t>
      </w:r>
    </w:p>
    <w:p w14:paraId="0DC243F5">
      <w:pPr>
        <w:spacing w:line="580" w:lineRule="exact"/>
        <w:ind w:firstLine="640"/>
        <w:jc w:val="both"/>
      </w:pPr>
      <w:r>
        <w:rPr>
          <w:rFonts w:ascii="仿宋_GB2312" w:hAnsi="仿宋_GB2312" w:eastAsia="仿宋_GB2312"/>
          <w:sz w:val="32"/>
        </w:rPr>
        <w:t>（3）依法行使执行权和司法决定权。</w:t>
      </w:r>
    </w:p>
    <w:p w14:paraId="6A5A22C1">
      <w:pPr>
        <w:spacing w:line="580" w:lineRule="exact"/>
        <w:ind w:firstLine="640"/>
        <w:jc w:val="both"/>
      </w:pPr>
      <w:r>
        <w:rPr>
          <w:rFonts w:ascii="仿宋_GB2312" w:hAnsi="仿宋_GB2312" w:eastAsia="仿宋_GB2312"/>
          <w:sz w:val="32"/>
        </w:rPr>
        <w:t>（4）对法律规定、规章等草案提出意见，对案件审理中发现的问题提出司法建议。</w:t>
      </w:r>
    </w:p>
    <w:p w14:paraId="0215E5CF">
      <w:pPr>
        <w:spacing w:line="580" w:lineRule="exact"/>
        <w:ind w:firstLine="640"/>
        <w:jc w:val="both"/>
      </w:pPr>
      <w:r>
        <w:rPr>
          <w:rFonts w:ascii="仿宋_GB2312" w:hAnsi="仿宋_GB2312" w:eastAsia="仿宋_GB2312"/>
          <w:sz w:val="32"/>
        </w:rPr>
        <w:t>（5）指导基层法庭工作。</w:t>
      </w:r>
    </w:p>
    <w:p w14:paraId="0111195A">
      <w:pPr>
        <w:spacing w:line="580" w:lineRule="exact"/>
        <w:ind w:firstLine="640"/>
        <w:jc w:val="both"/>
      </w:pPr>
      <w:r>
        <w:rPr>
          <w:rFonts w:ascii="仿宋_GB2312" w:hAnsi="仿宋_GB2312" w:eastAsia="仿宋_GB2312"/>
          <w:sz w:val="32"/>
        </w:rPr>
        <w:t>（6）负责全院的思想政治、教育培训工作和干部管理工作。</w:t>
      </w:r>
    </w:p>
    <w:p w14:paraId="2E925A7B">
      <w:pPr>
        <w:spacing w:line="580" w:lineRule="exact"/>
        <w:ind w:firstLine="640"/>
        <w:jc w:val="both"/>
      </w:pPr>
      <w:r>
        <w:rPr>
          <w:rFonts w:ascii="仿宋_GB2312" w:hAnsi="仿宋_GB2312" w:eastAsia="仿宋_GB2312"/>
          <w:sz w:val="32"/>
        </w:rPr>
        <w:t>（7）负责全院财务、专项投资的计划管理及分配。</w:t>
      </w:r>
    </w:p>
    <w:p w14:paraId="43F8FBD5">
      <w:pPr>
        <w:spacing w:line="580" w:lineRule="exact"/>
        <w:ind w:firstLine="640"/>
        <w:jc w:val="both"/>
      </w:pPr>
      <w:r>
        <w:rPr>
          <w:rFonts w:ascii="仿宋_GB2312" w:hAnsi="仿宋_GB2312" w:eastAsia="仿宋_GB2312"/>
          <w:sz w:val="32"/>
        </w:rPr>
        <w:t>（8）负责全院的监察工作。</w:t>
      </w:r>
    </w:p>
    <w:p w14:paraId="5E4BCB94">
      <w:pPr>
        <w:spacing w:line="580" w:lineRule="exact"/>
        <w:ind w:firstLine="640"/>
        <w:jc w:val="both"/>
      </w:pPr>
      <w:r>
        <w:rPr>
          <w:rFonts w:ascii="仿宋_GB2312" w:hAnsi="仿宋_GB2312" w:eastAsia="仿宋_GB2312"/>
          <w:sz w:val="32"/>
        </w:rPr>
        <w:t>（9）管理人民法院司法警察工作。</w:t>
      </w:r>
    </w:p>
    <w:p w14:paraId="5EDC438D">
      <w:pPr>
        <w:spacing w:line="580" w:lineRule="exact"/>
        <w:ind w:firstLine="640"/>
        <w:jc w:val="both"/>
      </w:pPr>
      <w:r>
        <w:rPr>
          <w:rFonts w:ascii="仿宋_GB2312" w:hAnsi="仿宋_GB2312" w:eastAsia="仿宋_GB2312"/>
          <w:sz w:val="32"/>
        </w:rPr>
        <w:t>（10）做好本院行政、后勤事业管理和服务工作。</w:t>
      </w:r>
    </w:p>
    <w:p w14:paraId="618A4398">
      <w:pPr>
        <w:spacing w:line="580" w:lineRule="exact"/>
        <w:ind w:firstLine="640"/>
        <w:jc w:val="both"/>
      </w:pPr>
      <w:r>
        <w:rPr>
          <w:rFonts w:ascii="仿宋_GB2312" w:hAnsi="仿宋_GB2312" w:eastAsia="仿宋_GB2312"/>
          <w:sz w:val="32"/>
        </w:rPr>
        <w:t>（11）宣传法制，教育公民忠于社会主义祖国，自觉遵守宪法、法律和社会公德。</w:t>
      </w:r>
    </w:p>
    <w:p w14:paraId="6D4DB5BF">
      <w:pPr>
        <w:spacing w:line="580" w:lineRule="exact"/>
        <w:ind w:firstLine="640"/>
        <w:jc w:val="both"/>
      </w:pPr>
      <w:r>
        <w:rPr>
          <w:rFonts w:ascii="仿宋_GB2312" w:hAnsi="仿宋_GB2312" w:eastAsia="仿宋_GB2312"/>
          <w:sz w:val="32"/>
        </w:rPr>
        <w:t>（12）积极参与社会治安综合治理。</w:t>
      </w:r>
    </w:p>
    <w:p w14:paraId="533E3BC8">
      <w:pPr>
        <w:spacing w:line="580" w:lineRule="exact"/>
        <w:ind w:firstLine="640"/>
        <w:jc w:val="both"/>
      </w:pPr>
      <w:r>
        <w:rPr>
          <w:rFonts w:ascii="仿宋_GB2312" w:hAnsi="仿宋_GB2312" w:eastAsia="仿宋_GB2312"/>
          <w:sz w:val="32"/>
        </w:rPr>
        <w:t>（13）承办</w:t>
      </w:r>
      <w:r>
        <w:rPr>
          <w:rFonts w:hint="eastAsia" w:ascii="仿宋_GB2312" w:hAnsi="仿宋_GB2312" w:eastAsia="仿宋_GB2312"/>
          <w:sz w:val="32"/>
          <w:lang w:eastAsia="zh-CN"/>
        </w:rPr>
        <w:t>其他</w:t>
      </w:r>
      <w:r>
        <w:rPr>
          <w:rFonts w:ascii="仿宋_GB2312" w:hAnsi="仿宋_GB2312" w:eastAsia="仿宋_GB2312"/>
          <w:sz w:val="32"/>
        </w:rPr>
        <w:t>应由基层人民法院负责的工作。</w:t>
      </w:r>
    </w:p>
    <w:p w14:paraId="10226E8D">
      <w:pPr>
        <w:spacing w:line="640" w:lineRule="exact"/>
        <w:ind w:firstLine="640"/>
        <w:jc w:val="both"/>
        <w:outlineLvl w:val="2"/>
      </w:pPr>
      <w:r>
        <w:rPr>
          <w:rFonts w:ascii="黑体" w:hAnsi="黑体" w:eastAsia="黑体"/>
          <w:sz w:val="32"/>
        </w:rPr>
        <w:t>二、机构设置及人员情况</w:t>
      </w:r>
    </w:p>
    <w:p w14:paraId="3D6EFF22">
      <w:pPr>
        <w:spacing w:line="580" w:lineRule="exact"/>
        <w:ind w:firstLine="640"/>
        <w:jc w:val="both"/>
      </w:pPr>
      <w:r>
        <w:rPr>
          <w:rFonts w:ascii="仿宋_GB2312" w:hAnsi="仿宋_GB2312" w:eastAsia="仿宋_GB2312"/>
          <w:sz w:val="32"/>
        </w:rPr>
        <w:t>玛纳斯县人民法院2024年度，实有人数119人，其中：在职人员77人，增加1人；离休人员0人，增加0人；退休人员42人,增加0人。</w:t>
      </w:r>
    </w:p>
    <w:p w14:paraId="529AC3C1">
      <w:pPr>
        <w:spacing w:line="580" w:lineRule="exact"/>
        <w:ind w:firstLine="640"/>
        <w:jc w:val="both"/>
      </w:pPr>
      <w:r>
        <w:rPr>
          <w:rFonts w:ascii="仿宋_GB2312" w:hAnsi="仿宋_GB2312" w:eastAsia="仿宋_GB2312"/>
          <w:sz w:val="32"/>
        </w:rPr>
        <w:t>玛纳斯县人民法院无下属预算单位，下设9个科室，分别是：立案庭(诉讼服务中心)、刑事审判庭、民事审判庭、行政审判庭(综合审判庭)、执行局、政治部(机关党委)、综合办公室(司法警察大队)、审判管理办公室(研究室)、北五岔人民法庭。</w:t>
      </w:r>
    </w:p>
    <w:p w14:paraId="0C46252B">
      <w:r>
        <w:br w:type="page"/>
      </w:r>
    </w:p>
    <w:p w14:paraId="3CA6E53D">
      <w:pPr>
        <w:spacing w:line="240" w:lineRule="auto"/>
        <w:jc w:val="center"/>
        <w:outlineLvl w:val="1"/>
      </w:pPr>
      <w:r>
        <w:rPr>
          <w:rFonts w:ascii="黑体" w:hAnsi="黑体" w:eastAsia="黑体"/>
          <w:sz w:val="32"/>
        </w:rPr>
        <w:t>第二部分 部门决算情况说明</w:t>
      </w:r>
    </w:p>
    <w:p w14:paraId="63E3016E">
      <w:pPr>
        <w:spacing w:line="640" w:lineRule="exact"/>
        <w:ind w:firstLine="640"/>
        <w:jc w:val="both"/>
        <w:outlineLvl w:val="2"/>
      </w:pPr>
      <w:r>
        <w:rPr>
          <w:rFonts w:ascii="黑体" w:hAnsi="黑体" w:eastAsia="黑体"/>
          <w:sz w:val="32"/>
        </w:rPr>
        <w:t>一、收入支出决算总体情况说明</w:t>
      </w:r>
    </w:p>
    <w:p w14:paraId="73F918D1">
      <w:pPr>
        <w:spacing w:line="580" w:lineRule="exact"/>
        <w:ind w:firstLine="640"/>
        <w:jc w:val="both"/>
      </w:pPr>
      <w:r>
        <w:rPr>
          <w:rFonts w:ascii="仿宋_GB2312" w:hAnsi="仿宋_GB2312" w:eastAsia="仿宋_GB2312"/>
          <w:b/>
          <w:sz w:val="32"/>
        </w:rPr>
        <w:t>2024年度收入总计2,788.31万元，</w:t>
      </w:r>
      <w:r>
        <w:rPr>
          <w:rFonts w:ascii="仿宋_GB2312" w:hAnsi="仿宋_GB2312" w:eastAsia="仿宋_GB2312"/>
          <w:b w:val="0"/>
          <w:sz w:val="32"/>
        </w:rPr>
        <w:t>其中：本年收入合计2,579.12万元，使用非财政拨款结余（含专用结余）0.00万元，年初结转和结余209.19万元。</w:t>
      </w:r>
    </w:p>
    <w:p w14:paraId="06BBC773">
      <w:pPr>
        <w:spacing w:line="580" w:lineRule="exact"/>
        <w:ind w:firstLine="640"/>
        <w:jc w:val="both"/>
      </w:pPr>
      <w:r>
        <w:rPr>
          <w:rFonts w:ascii="仿宋_GB2312" w:hAnsi="仿宋_GB2312" w:eastAsia="仿宋_GB2312"/>
          <w:b/>
          <w:sz w:val="32"/>
        </w:rPr>
        <w:t>2024年度支出总计2,788.31万元，</w:t>
      </w:r>
      <w:r>
        <w:rPr>
          <w:rFonts w:ascii="仿宋_GB2312" w:hAnsi="仿宋_GB2312" w:eastAsia="仿宋_GB2312"/>
          <w:b w:val="0"/>
          <w:sz w:val="32"/>
        </w:rPr>
        <w:t>其中：本年支出合计2,678.59万元，结余分配0.00万元，年末结转和结余109.72万元。</w:t>
      </w:r>
    </w:p>
    <w:p w14:paraId="57AC1C97">
      <w:pPr>
        <w:spacing w:line="580" w:lineRule="exact"/>
        <w:ind w:firstLine="640"/>
        <w:jc w:val="both"/>
      </w:pPr>
      <w:r>
        <w:rPr>
          <w:rFonts w:ascii="仿宋_GB2312" w:hAnsi="仿宋_GB2312" w:eastAsia="仿宋_GB2312"/>
          <w:b w:val="0"/>
          <w:sz w:val="32"/>
        </w:rPr>
        <w:t>收入支出总体与上年相比，增加70.00万元，增长2.58%，主要原因是：本年在职人员工资调增，社保、公积金基数调增，人员经费增加。本年中央政法转移支付资金项目资金较上年增加。</w:t>
      </w:r>
    </w:p>
    <w:p w14:paraId="002C890F">
      <w:pPr>
        <w:spacing w:line="640" w:lineRule="exact"/>
        <w:ind w:firstLine="640"/>
        <w:jc w:val="both"/>
        <w:outlineLvl w:val="2"/>
      </w:pPr>
      <w:r>
        <w:rPr>
          <w:rFonts w:ascii="黑体" w:hAnsi="黑体" w:eastAsia="黑体"/>
          <w:sz w:val="32"/>
        </w:rPr>
        <w:t>二、收入决算情况说明</w:t>
      </w:r>
    </w:p>
    <w:p w14:paraId="52387F95">
      <w:pPr>
        <w:spacing w:line="580" w:lineRule="exact"/>
        <w:ind w:firstLine="640"/>
        <w:jc w:val="both"/>
      </w:pPr>
      <w:r>
        <w:rPr>
          <w:rFonts w:ascii="仿宋_GB2312" w:hAnsi="仿宋_GB2312" w:eastAsia="仿宋_GB2312"/>
          <w:b/>
          <w:sz w:val="32"/>
        </w:rPr>
        <w:t>本年收入2,579.12万元，</w:t>
      </w:r>
      <w:r>
        <w:rPr>
          <w:rFonts w:ascii="仿宋_GB2312" w:hAnsi="仿宋_GB2312" w:eastAsia="仿宋_GB2312"/>
          <w:b w:val="0"/>
          <w:sz w:val="32"/>
        </w:rPr>
        <w:t>其中：财政拨款收入2,517.54万元，占97.61%；上级补助收入0.00万元，占0.00%；事业收入0.00万元，占0.00%；经营收入0.00万元，占0.00%；附属单位上缴收入0.00万元，占0.00%；其他收入61.58万元，占2.39%。</w:t>
      </w:r>
    </w:p>
    <w:p w14:paraId="62D35C1B">
      <w:pPr>
        <w:spacing w:line="640" w:lineRule="exact"/>
        <w:ind w:firstLine="640"/>
        <w:jc w:val="both"/>
        <w:outlineLvl w:val="2"/>
      </w:pPr>
      <w:r>
        <w:rPr>
          <w:rFonts w:ascii="黑体" w:hAnsi="黑体" w:eastAsia="黑体"/>
          <w:sz w:val="32"/>
        </w:rPr>
        <w:t>三、支出决算情况说明</w:t>
      </w:r>
    </w:p>
    <w:p w14:paraId="356E19C0">
      <w:pPr>
        <w:spacing w:line="580" w:lineRule="exact"/>
        <w:ind w:firstLine="640"/>
        <w:jc w:val="both"/>
      </w:pPr>
      <w:r>
        <w:rPr>
          <w:rFonts w:ascii="仿宋_GB2312" w:hAnsi="仿宋_GB2312" w:eastAsia="仿宋_GB2312"/>
          <w:b/>
          <w:sz w:val="32"/>
        </w:rPr>
        <w:t>本年支出2,678.59万元，</w:t>
      </w:r>
      <w:r>
        <w:rPr>
          <w:rFonts w:ascii="仿宋_GB2312" w:hAnsi="仿宋_GB2312" w:eastAsia="仿宋_GB2312"/>
          <w:b w:val="0"/>
          <w:sz w:val="32"/>
        </w:rPr>
        <w:t>其中：基本支出2,003.45万元，占74.79%；项目支出675.14万元，占25.21%；上缴上级支出0.00万元，占0.00%；经营支出0.00万元，占0.00%；对附属单位补助支出0.00万元，占0.00%。</w:t>
      </w:r>
    </w:p>
    <w:p w14:paraId="667AA0AF">
      <w:pPr>
        <w:spacing w:line="640" w:lineRule="exact"/>
        <w:ind w:firstLine="640"/>
        <w:jc w:val="both"/>
        <w:outlineLvl w:val="2"/>
      </w:pPr>
      <w:r>
        <w:rPr>
          <w:rFonts w:ascii="黑体" w:hAnsi="黑体" w:eastAsia="黑体"/>
          <w:sz w:val="32"/>
        </w:rPr>
        <w:t>四、财政拨款收入支出决算总体情况说明</w:t>
      </w:r>
    </w:p>
    <w:p w14:paraId="75BD7722">
      <w:pPr>
        <w:spacing w:line="580" w:lineRule="exact"/>
        <w:ind w:firstLine="640"/>
        <w:jc w:val="both"/>
      </w:pPr>
      <w:r>
        <w:rPr>
          <w:rFonts w:ascii="仿宋_GB2312" w:hAnsi="仿宋_GB2312" w:eastAsia="仿宋_GB2312"/>
          <w:b/>
          <w:sz w:val="32"/>
        </w:rPr>
        <w:t>2024年度财政拨款收入总计2,517.54万元，</w:t>
      </w:r>
      <w:r>
        <w:rPr>
          <w:rFonts w:ascii="仿宋_GB2312" w:hAnsi="仿宋_GB2312" w:eastAsia="仿宋_GB2312"/>
          <w:b w:val="0"/>
          <w:sz w:val="32"/>
        </w:rPr>
        <w:t>其中：年初财政拨款结转和结余0.00万元，本年财政拨款收入2,517.54万元。</w:t>
      </w:r>
      <w:r>
        <w:rPr>
          <w:rFonts w:ascii="仿宋_GB2312" w:hAnsi="仿宋_GB2312" w:eastAsia="仿宋_GB2312"/>
          <w:b/>
          <w:sz w:val="32"/>
        </w:rPr>
        <w:t>财政拨款支出总计2,517.54万元，</w:t>
      </w:r>
      <w:r>
        <w:rPr>
          <w:rFonts w:ascii="仿宋_GB2312" w:hAnsi="仿宋_GB2312" w:eastAsia="仿宋_GB2312"/>
          <w:b w:val="0"/>
          <w:sz w:val="32"/>
        </w:rPr>
        <w:t>其中：年末财政拨款结转和结余0.00万元，本年财政拨款支出2,517.54万元。</w:t>
      </w:r>
    </w:p>
    <w:p w14:paraId="6EF3E0F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增加109.95万元，增长4.57%，主要原因是：本年在职人员工资调增，社保、公积金基数调增，人员经费增加。本年中央政法转移支付资金项目资金较上年增加。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2,349.98万元，决算数2,517.54万元，预决算差异率7.13%，主要原因是：1.本年在职人员增加，年中追加人员经费及人员工资、社保、公积金基数调增部分资金，导致预决算存在差异。2.年中追加为民办实事经费项目，导致预决算存在差异。</w:t>
      </w:r>
    </w:p>
    <w:p w14:paraId="59B09E40">
      <w:pPr>
        <w:spacing w:line="640" w:lineRule="exact"/>
        <w:ind w:firstLine="640"/>
        <w:jc w:val="both"/>
        <w:outlineLvl w:val="2"/>
      </w:pPr>
      <w:r>
        <w:rPr>
          <w:rFonts w:ascii="黑体" w:hAnsi="黑体" w:eastAsia="黑体"/>
          <w:sz w:val="32"/>
        </w:rPr>
        <w:t>五、一般公共预算财政拨款支出决算情况说明</w:t>
      </w:r>
    </w:p>
    <w:p w14:paraId="25ACA491">
      <w:pPr>
        <w:spacing w:line="640" w:lineRule="exact"/>
        <w:ind w:firstLine="640"/>
        <w:jc w:val="both"/>
        <w:outlineLvl w:val="3"/>
      </w:pPr>
      <w:r>
        <w:rPr>
          <w:rFonts w:ascii="楷体_GB2312" w:hAnsi="楷体_GB2312" w:eastAsia="楷体_GB2312"/>
          <w:b/>
          <w:sz w:val="32"/>
        </w:rPr>
        <w:t>（一）一般公共预算财政拨款支出决算总体情况</w:t>
      </w:r>
    </w:p>
    <w:p w14:paraId="58926548">
      <w:pPr>
        <w:spacing w:line="580" w:lineRule="exact"/>
        <w:ind w:firstLine="640"/>
        <w:jc w:val="both"/>
      </w:pPr>
      <w:r>
        <w:rPr>
          <w:rFonts w:ascii="仿宋_GB2312" w:hAnsi="仿宋_GB2312" w:eastAsia="仿宋_GB2312"/>
          <w:b/>
          <w:sz w:val="32"/>
        </w:rPr>
        <w:t>2024年度一般公共预算财政拨款支出2,517.54万元，</w:t>
      </w:r>
      <w:r>
        <w:rPr>
          <w:rFonts w:ascii="仿宋_GB2312" w:hAnsi="仿宋_GB2312" w:eastAsia="仿宋_GB2312"/>
          <w:b w:val="0"/>
          <w:sz w:val="32"/>
        </w:rPr>
        <w:t>占本年支出合计的93.99%。</w:t>
      </w:r>
      <w:r>
        <w:rPr>
          <w:rFonts w:ascii="仿宋_GB2312" w:hAnsi="仿宋_GB2312" w:eastAsia="仿宋_GB2312"/>
          <w:b/>
          <w:sz w:val="32"/>
        </w:rPr>
        <w:t>与上年相比，</w:t>
      </w:r>
      <w:r>
        <w:rPr>
          <w:rFonts w:ascii="仿宋_GB2312" w:hAnsi="仿宋_GB2312" w:eastAsia="仿宋_GB2312"/>
          <w:b w:val="0"/>
          <w:sz w:val="32"/>
        </w:rPr>
        <w:t>增加109.95万元，增长4.57%，主要原因是：本年在职人员工资调增，社保、公积金基数调增，人员经费增加。本年中央政法转移支付资金项目资金较上年增加。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2,349.98万元，决算数2,517.54万元，预决算差异率7.13%，主要原因是：1.本年在职人员增加，年中追加人员经费及人员工资、社保、公积金基数调增部分资金，导致预决算存在差异。2.年中追加为民办实事经费项目，导致预决算存在差异。</w:t>
      </w:r>
    </w:p>
    <w:p w14:paraId="7D1FEBCE">
      <w:pPr>
        <w:spacing w:line="640" w:lineRule="exact"/>
        <w:ind w:firstLine="640"/>
        <w:jc w:val="both"/>
        <w:outlineLvl w:val="3"/>
      </w:pPr>
      <w:r>
        <w:rPr>
          <w:rFonts w:ascii="楷体_GB2312" w:hAnsi="楷体_GB2312" w:eastAsia="楷体_GB2312"/>
          <w:b/>
          <w:sz w:val="32"/>
        </w:rPr>
        <w:t>（二）一般公共预算财政拨款支出决算结构情况</w:t>
      </w:r>
    </w:p>
    <w:p w14:paraId="5BED0B83">
      <w:pPr>
        <w:spacing w:line="580" w:lineRule="exact"/>
        <w:ind w:firstLine="640"/>
        <w:jc w:val="both"/>
      </w:pPr>
      <w:r>
        <w:rPr>
          <w:rFonts w:ascii="仿宋_GB2312" w:hAnsi="仿宋_GB2312" w:eastAsia="仿宋_GB2312"/>
          <w:b w:val="0"/>
          <w:sz w:val="32"/>
        </w:rPr>
        <w:t>1.一般公共服务支出(类)2.15万元,占0.09%。</w:t>
      </w:r>
    </w:p>
    <w:p w14:paraId="45B76FB1">
      <w:pPr>
        <w:spacing w:line="580" w:lineRule="exact"/>
        <w:ind w:firstLine="640"/>
        <w:jc w:val="both"/>
      </w:pPr>
      <w:r>
        <w:rPr>
          <w:rFonts w:ascii="仿宋_GB2312" w:hAnsi="仿宋_GB2312" w:eastAsia="仿宋_GB2312"/>
          <w:b w:val="0"/>
          <w:sz w:val="32"/>
        </w:rPr>
        <w:t>2.公共安全支出(类)2,074.78万元,占82.41%。</w:t>
      </w:r>
    </w:p>
    <w:p w14:paraId="61EC9364">
      <w:pPr>
        <w:spacing w:line="580" w:lineRule="exact"/>
        <w:ind w:firstLine="640"/>
        <w:jc w:val="both"/>
      </w:pPr>
      <w:r>
        <w:rPr>
          <w:rFonts w:ascii="仿宋_GB2312" w:hAnsi="仿宋_GB2312" w:eastAsia="仿宋_GB2312"/>
          <w:b w:val="0"/>
          <w:sz w:val="32"/>
        </w:rPr>
        <w:t>3.社会保障和就业支出(类)231.10万元,占9.18%。</w:t>
      </w:r>
    </w:p>
    <w:p w14:paraId="6D5A2995">
      <w:pPr>
        <w:spacing w:line="580" w:lineRule="exact"/>
        <w:ind w:firstLine="640"/>
        <w:jc w:val="both"/>
      </w:pPr>
      <w:r>
        <w:rPr>
          <w:rFonts w:ascii="仿宋_GB2312" w:hAnsi="仿宋_GB2312" w:eastAsia="仿宋_GB2312"/>
          <w:b w:val="0"/>
          <w:sz w:val="32"/>
        </w:rPr>
        <w:t>4.卫生健康支出(类)72.94万元,占2.90%。</w:t>
      </w:r>
    </w:p>
    <w:p w14:paraId="759A589D">
      <w:pPr>
        <w:spacing w:line="580" w:lineRule="exact"/>
        <w:ind w:firstLine="640"/>
        <w:jc w:val="both"/>
      </w:pPr>
      <w:r>
        <w:rPr>
          <w:rFonts w:ascii="仿宋_GB2312" w:hAnsi="仿宋_GB2312" w:eastAsia="仿宋_GB2312"/>
          <w:b w:val="0"/>
          <w:sz w:val="32"/>
        </w:rPr>
        <w:t>5.住房保障支出(类)111.87万元,占4.44%。</w:t>
      </w:r>
    </w:p>
    <w:p w14:paraId="5344BEE6">
      <w:pPr>
        <w:spacing w:line="580" w:lineRule="exact"/>
        <w:ind w:firstLine="640"/>
        <w:jc w:val="both"/>
      </w:pPr>
      <w:r>
        <w:rPr>
          <w:rFonts w:ascii="仿宋_GB2312" w:hAnsi="仿宋_GB2312" w:eastAsia="仿宋_GB2312"/>
          <w:b w:val="0"/>
          <w:sz w:val="32"/>
        </w:rPr>
        <w:t>6.其他支出(类)24.69万元,占0.98%。</w:t>
      </w:r>
    </w:p>
    <w:p w14:paraId="77B1071F">
      <w:pPr>
        <w:spacing w:line="640" w:lineRule="exact"/>
        <w:ind w:firstLine="640"/>
        <w:jc w:val="both"/>
        <w:outlineLvl w:val="3"/>
      </w:pPr>
      <w:r>
        <w:rPr>
          <w:rFonts w:ascii="楷体_GB2312" w:hAnsi="楷体_GB2312" w:eastAsia="楷体_GB2312"/>
          <w:b/>
          <w:sz w:val="32"/>
        </w:rPr>
        <w:t>（三）一般公共预算财政拨款支出决算具体情况</w:t>
      </w:r>
    </w:p>
    <w:p w14:paraId="33DA3EAD">
      <w:pPr>
        <w:spacing w:line="580" w:lineRule="exact"/>
        <w:ind w:firstLine="640"/>
        <w:jc w:val="both"/>
      </w:pPr>
      <w:r>
        <w:rPr>
          <w:rFonts w:ascii="仿宋_GB2312" w:hAnsi="仿宋_GB2312" w:eastAsia="仿宋_GB2312"/>
          <w:b w:val="0"/>
          <w:sz w:val="32"/>
        </w:rPr>
        <w:t>1.一般公共服务支出(类)信访事务(款)信访业务(项):支出决算数为2.15万元，比上年决算增加2.15万元，增长100.00%,主要原因是：本年新增清理重复信访，化解信访疑难案件资金。</w:t>
      </w:r>
    </w:p>
    <w:p w14:paraId="23388173">
      <w:pPr>
        <w:spacing w:line="580" w:lineRule="exact"/>
        <w:ind w:firstLine="640"/>
        <w:jc w:val="both"/>
      </w:pPr>
      <w:r>
        <w:rPr>
          <w:rFonts w:ascii="仿宋_GB2312" w:hAnsi="仿宋_GB2312" w:eastAsia="仿宋_GB2312"/>
          <w:b w:val="0"/>
          <w:sz w:val="32"/>
        </w:rPr>
        <w:t>2.公共安全支出(类)法院(款)行政运行(项):支出决算数为1,583.91万元，比上年决算增加121.50万元，增长8.31%,主要原因是：本年在职人员工资调增，相关人员经费增加。</w:t>
      </w:r>
    </w:p>
    <w:p w14:paraId="58A9E04E">
      <w:pPr>
        <w:spacing w:line="580" w:lineRule="exact"/>
        <w:ind w:firstLine="640"/>
        <w:jc w:val="both"/>
      </w:pPr>
      <w:r>
        <w:rPr>
          <w:rFonts w:ascii="仿宋_GB2312" w:hAnsi="仿宋_GB2312" w:eastAsia="仿宋_GB2312"/>
          <w:b w:val="0"/>
          <w:sz w:val="32"/>
        </w:rPr>
        <w:t>3.公共安全支出(类)法院(款)一般行政管理事务(项):支出决算数为34.63万元，比上年决算减少97.57万元，下降73.80%,主要原因是：本年减少化解欠款资金及统一采购电脑项目。</w:t>
      </w:r>
    </w:p>
    <w:p w14:paraId="04F74DEA">
      <w:pPr>
        <w:spacing w:line="580" w:lineRule="exact"/>
        <w:ind w:firstLine="640"/>
        <w:jc w:val="both"/>
      </w:pPr>
      <w:r>
        <w:rPr>
          <w:rFonts w:ascii="仿宋_GB2312" w:hAnsi="仿宋_GB2312" w:eastAsia="仿宋_GB2312"/>
          <w:b w:val="0"/>
          <w:sz w:val="32"/>
        </w:rPr>
        <w:t>4.公共安全支出(类)法院(款)“两庭”建设(项):支出决算数为0.00万元，比上年决算减少170.00万元，下降100.00%,主要原因是：本年减少两庭建设资金。</w:t>
      </w:r>
    </w:p>
    <w:p w14:paraId="224973BD">
      <w:pPr>
        <w:spacing w:line="580" w:lineRule="exact"/>
        <w:ind w:firstLine="640"/>
        <w:jc w:val="both"/>
      </w:pPr>
      <w:r>
        <w:rPr>
          <w:rFonts w:ascii="仿宋_GB2312" w:hAnsi="仿宋_GB2312" w:eastAsia="仿宋_GB2312"/>
          <w:b w:val="0"/>
          <w:sz w:val="32"/>
        </w:rPr>
        <w:t>5.公共安全支出(类)法院(款)其他法院支出(项):支出决算数为456.25万元，比上年决算增加207.77万元，增长83.62%,主要原因是：本年增加中央政法转移支付资金。</w:t>
      </w:r>
    </w:p>
    <w:p w14:paraId="50BF1DC3">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6.社会保障和就业支出(类)行政事业单位养老支出(款)行政单位离退休(项):支出决算数为26.55万元，比上年决算增加11.29万元，增长73.98%,主要原因是：本年增加退休人员基础绩效奖，退休费支出增加。</w:t>
      </w:r>
    </w:p>
    <w:p w14:paraId="1F9577B3">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136.61万元，比上年决算增加20.71万元，增长17.87%,主要原因是：本年在职人员工资基数调增，养老缴费基数上涨，相应支出增加。</w:t>
      </w:r>
    </w:p>
    <w:p w14:paraId="7CB41D7C">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67.95万元，比上年决算增加3.18万元，增长4.91%,主要原因是：本年在职人员工资基数调增，职业年金缴费支出增加。</w:t>
      </w:r>
    </w:p>
    <w:p w14:paraId="00A18444">
      <w:pPr>
        <w:spacing w:line="580" w:lineRule="exact"/>
        <w:ind w:firstLine="640"/>
        <w:jc w:val="both"/>
      </w:pPr>
      <w:r>
        <w:rPr>
          <w:rFonts w:ascii="仿宋_GB2312" w:hAnsi="仿宋_GB2312" w:eastAsia="仿宋_GB2312"/>
          <w:b w:val="0"/>
          <w:sz w:val="32"/>
        </w:rPr>
        <w:t>9.卫生健康支出(类)行政事业单位医疗(款)行政单位医疗(项):支出决算数为68.23万元，比上年决算增加3.71万元，增长5.75%,主要原因是：本年在职人员工资基数调增，医疗缴费基数上涨，相应支出增加。</w:t>
      </w:r>
    </w:p>
    <w:p w14:paraId="77AF6EDF">
      <w:pPr>
        <w:spacing w:line="580" w:lineRule="exact"/>
        <w:ind w:firstLine="640"/>
        <w:jc w:val="both"/>
      </w:pPr>
      <w:r>
        <w:rPr>
          <w:rFonts w:ascii="仿宋_GB2312" w:hAnsi="仿宋_GB2312" w:eastAsia="仿宋_GB2312"/>
          <w:b w:val="0"/>
          <w:sz w:val="32"/>
        </w:rPr>
        <w:t>10.卫生健康支出(类)行政事业单位医疗(款)公务员医疗补助(项):支出决算数为4.25万元，比上年决算增加0.12万元，增长2.91%,主要原因是：本年在职人员工资基数调增，医疗缴费基数上涨，相应支出增加。</w:t>
      </w:r>
    </w:p>
    <w:p w14:paraId="68934EA2">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0.46万元，比上年决算减少0.21万元，下降31.34%,主要原因是：因退休人员医疗保险制度改革，退休人员基本医疗不再由单位缴纳，导致经费较上年减少。</w:t>
      </w:r>
    </w:p>
    <w:p w14:paraId="48C47EB1">
      <w:pPr>
        <w:spacing w:line="580" w:lineRule="exact"/>
        <w:ind w:firstLine="640"/>
        <w:jc w:val="both"/>
      </w:pPr>
      <w:r>
        <w:rPr>
          <w:rFonts w:ascii="仿宋_GB2312" w:hAnsi="仿宋_GB2312" w:eastAsia="仿宋_GB2312"/>
          <w:b w:val="0"/>
          <w:sz w:val="32"/>
        </w:rPr>
        <w:t>12.住房保障支出(类)住房改革支出(款)住房公积金(项):支出决算数为111.87万元，比上年决算减少0.60万元，下降0.53%,主要原因是：本年在职人员调入调出，人员职级不同，缴费基数不同，导致住房公积金较上年减少。</w:t>
      </w:r>
    </w:p>
    <w:p w14:paraId="31D8C37A">
      <w:pPr>
        <w:spacing w:line="580" w:lineRule="exact"/>
        <w:ind w:firstLine="640"/>
        <w:jc w:val="both"/>
      </w:pPr>
      <w:r>
        <w:rPr>
          <w:rFonts w:ascii="仿宋_GB2312" w:hAnsi="仿宋_GB2312" w:eastAsia="仿宋_GB2312"/>
          <w:b w:val="0"/>
          <w:sz w:val="32"/>
        </w:rPr>
        <w:t>13.其他支出(类)其他支出(款)其他支出(项):支出决算数为24.69万元，比上年决算增加7.92万元，增长47.23%,主要原因是：本年为民办实事经费资金较上年增加。</w:t>
      </w:r>
    </w:p>
    <w:p w14:paraId="3D0E4555">
      <w:pPr>
        <w:spacing w:line="640" w:lineRule="exact"/>
        <w:ind w:firstLine="640"/>
        <w:jc w:val="both"/>
        <w:outlineLvl w:val="2"/>
      </w:pPr>
      <w:r>
        <w:rPr>
          <w:rFonts w:ascii="黑体" w:hAnsi="黑体" w:eastAsia="黑体"/>
          <w:sz w:val="32"/>
        </w:rPr>
        <w:t>六、一般公共预算财政拨款基本支出决算情况说明</w:t>
      </w:r>
    </w:p>
    <w:p w14:paraId="314A79B9">
      <w:pPr>
        <w:spacing w:line="580" w:lineRule="exact"/>
        <w:ind w:firstLine="640"/>
        <w:jc w:val="both"/>
      </w:pPr>
      <w:r>
        <w:rPr>
          <w:rFonts w:ascii="仿宋_GB2312" w:hAnsi="仿宋_GB2312" w:eastAsia="仿宋_GB2312"/>
          <w:b w:val="0"/>
          <w:sz w:val="32"/>
        </w:rPr>
        <w:t>2024年度一般公共预算财政拨款基本支出2,003.45万元，其中：</w:t>
      </w:r>
      <w:r>
        <w:rPr>
          <w:rFonts w:ascii="仿宋_GB2312" w:hAnsi="仿宋_GB2312" w:eastAsia="仿宋_GB2312"/>
          <w:b/>
          <w:sz w:val="32"/>
        </w:rPr>
        <w:t>人员经费1,798.22万元，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生活补助、奖励金。</w:t>
      </w:r>
    </w:p>
    <w:p w14:paraId="4ED7134B">
      <w:pPr>
        <w:spacing w:line="580" w:lineRule="exact"/>
        <w:ind w:firstLine="640"/>
        <w:jc w:val="both"/>
      </w:pPr>
      <w:r>
        <w:rPr>
          <w:rFonts w:ascii="仿宋_GB2312" w:hAnsi="仿宋_GB2312" w:eastAsia="仿宋_GB2312"/>
          <w:b/>
          <w:sz w:val="32"/>
        </w:rPr>
        <w:t>公用经费205.23万元，</w:t>
      </w:r>
      <w:r>
        <w:rPr>
          <w:rFonts w:ascii="仿宋_GB2312" w:hAnsi="仿宋_GB2312" w:eastAsia="仿宋_GB2312"/>
          <w:b w:val="0"/>
          <w:sz w:val="32"/>
        </w:rPr>
        <w:t>包括：办公费、印刷费、手续费、水费、电费、取暖费、物业管理费、维修（护）费、租赁费、公务接待费、劳务费、工会经费、福利费、公务用车运行维护费、其他商品和服务支出。</w:t>
      </w:r>
    </w:p>
    <w:p w14:paraId="68BA7305">
      <w:pPr>
        <w:spacing w:line="640" w:lineRule="exact"/>
        <w:ind w:firstLine="640"/>
        <w:jc w:val="both"/>
        <w:outlineLvl w:val="2"/>
      </w:pPr>
      <w:r>
        <w:rPr>
          <w:rFonts w:ascii="黑体" w:hAnsi="黑体" w:eastAsia="黑体"/>
          <w:sz w:val="32"/>
        </w:rPr>
        <w:t>七、政府性基金预算财政拨款收入支出决算情况说明</w:t>
      </w:r>
    </w:p>
    <w:p w14:paraId="605F156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C61EAF7">
      <w:pPr>
        <w:spacing w:line="640" w:lineRule="exact"/>
        <w:ind w:firstLine="640"/>
        <w:jc w:val="both"/>
        <w:outlineLvl w:val="2"/>
      </w:pPr>
      <w:r>
        <w:rPr>
          <w:rFonts w:ascii="黑体" w:hAnsi="黑体" w:eastAsia="黑体"/>
          <w:sz w:val="32"/>
        </w:rPr>
        <w:t>八、国有资本经营预算财政拨款收入支出决算情况说明</w:t>
      </w:r>
    </w:p>
    <w:p w14:paraId="2AB64FD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F6D97E0">
      <w:pPr>
        <w:spacing w:line="640" w:lineRule="exact"/>
        <w:ind w:firstLine="640"/>
        <w:jc w:val="both"/>
        <w:outlineLvl w:val="2"/>
      </w:pPr>
      <w:r>
        <w:rPr>
          <w:rFonts w:ascii="黑体" w:hAnsi="黑体" w:eastAsia="黑体"/>
          <w:sz w:val="32"/>
        </w:rPr>
        <w:t>九、财政拨款“三公”经费支出决算情况说明</w:t>
      </w:r>
    </w:p>
    <w:p w14:paraId="4CB31728">
      <w:pPr>
        <w:spacing w:line="580" w:lineRule="exact"/>
        <w:ind w:firstLine="640"/>
        <w:jc w:val="both"/>
      </w:pPr>
      <w:r>
        <w:rPr>
          <w:rFonts w:ascii="仿宋_GB2312" w:hAnsi="仿宋_GB2312" w:eastAsia="仿宋_GB2312"/>
          <w:b/>
          <w:sz w:val="32"/>
        </w:rPr>
        <w:t>2024年度财政拨款“三公”经费支出35.60万元，</w:t>
      </w:r>
      <w:r>
        <w:rPr>
          <w:rFonts w:ascii="仿宋_GB2312" w:hAnsi="仿宋_GB2312" w:eastAsia="仿宋_GB2312"/>
          <w:b w:val="0"/>
          <w:sz w:val="32"/>
        </w:rPr>
        <w:t>比上年增加0.46万元，增长1.31%，主要原因是：本年因业务需求，接待人次较上年增加，导致公务接待费较上年增加。其中：因公出国（境）费支出0.00万元，占0.00%，比上年增加0.00万元，增长0.00%，主要原因是：2023年与2024年均未安排因公出国（境）费支出。公务用车购置及运行维护费支出35.00万元，占98.31%，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公务用车运行维护费与上年一致无变化。公务接待费支出0.60万元，占1.69%，比上年增加0.46万元，增长328.57%，主要原因是：本年因业务需求，接待人次较上年增加，导致公务接待费较上年增加。</w:t>
      </w:r>
    </w:p>
    <w:p w14:paraId="3AACE4FB">
      <w:pPr>
        <w:spacing w:line="580" w:lineRule="exact"/>
        <w:ind w:firstLine="640"/>
        <w:jc w:val="both"/>
      </w:pPr>
      <w:r>
        <w:rPr>
          <w:rFonts w:ascii="仿宋_GB2312" w:hAnsi="仿宋_GB2312" w:eastAsia="仿宋_GB2312"/>
          <w:b/>
          <w:sz w:val="32"/>
        </w:rPr>
        <w:t>具体情况如下：</w:t>
      </w:r>
    </w:p>
    <w:p w14:paraId="2F86100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6D8A4B8">
      <w:pPr>
        <w:spacing w:line="580" w:lineRule="exact"/>
        <w:ind w:firstLine="640"/>
        <w:jc w:val="both"/>
      </w:pPr>
      <w:r>
        <w:rPr>
          <w:rFonts w:ascii="仿宋_GB2312" w:hAnsi="仿宋_GB2312" w:eastAsia="仿宋_GB2312"/>
          <w:b w:val="0"/>
          <w:sz w:val="32"/>
        </w:rPr>
        <w:t>公务用车购置及运行维护费35.00万元，其中：公务用车购置费0.00万元，公务用车运行维护费35.00万元。公务用车运行维护费开支内容包括车辆加油费、维修费、保险费、审车费、过路费等。公务用车购置数0辆，公务用车保有量19辆。国有资产占用情况中固定资产车辆19辆，与公务用车保有量差异原因是：本单位固定资产车辆与公务用车保有量一致无差异。</w:t>
      </w:r>
    </w:p>
    <w:p w14:paraId="4BCD71A1">
      <w:pPr>
        <w:spacing w:line="580" w:lineRule="exact"/>
        <w:ind w:firstLine="640"/>
        <w:jc w:val="both"/>
      </w:pPr>
      <w:r>
        <w:rPr>
          <w:rFonts w:ascii="仿宋_GB2312" w:hAnsi="仿宋_GB2312" w:eastAsia="仿宋_GB2312"/>
          <w:b w:val="0"/>
          <w:sz w:val="32"/>
        </w:rPr>
        <w:t>公务接待费0.60万元，开支内容包括接待法官学院及援疆工作考察交流学习产生的就餐费。单位全年安排的国内公务接待2批次，78人次。</w:t>
      </w:r>
    </w:p>
    <w:p w14:paraId="42E32C1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35.60万元，决算数35.60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35.00万元，决算数35.00万元，预决算差异率0.00%，主要原因是：严格按照预算执行，预决算无差异。公务接待费全年预算数0.60万元，决算数0.60万元，预决算差异率0.00%，主要原因是：严格按照预算执行，预决算无差异。</w:t>
      </w:r>
    </w:p>
    <w:p w14:paraId="73A025DA">
      <w:pPr>
        <w:spacing w:line="640" w:lineRule="exact"/>
        <w:ind w:firstLine="640"/>
        <w:jc w:val="both"/>
        <w:outlineLvl w:val="2"/>
      </w:pPr>
      <w:r>
        <w:rPr>
          <w:rFonts w:ascii="黑体" w:hAnsi="黑体" w:eastAsia="黑体"/>
          <w:sz w:val="32"/>
        </w:rPr>
        <w:t>十、其他重要事项的情况说明</w:t>
      </w:r>
    </w:p>
    <w:p w14:paraId="28390062">
      <w:pPr>
        <w:spacing w:line="640" w:lineRule="exact"/>
        <w:ind w:firstLine="640"/>
        <w:jc w:val="both"/>
        <w:outlineLvl w:val="3"/>
      </w:pPr>
      <w:r>
        <w:rPr>
          <w:rFonts w:ascii="楷体_GB2312" w:hAnsi="楷体_GB2312" w:eastAsia="楷体_GB2312"/>
          <w:b/>
          <w:sz w:val="32"/>
        </w:rPr>
        <w:t>（一）机关运行经费及公用经费支出情况</w:t>
      </w:r>
    </w:p>
    <w:p w14:paraId="37E33FD0">
      <w:pPr>
        <w:spacing w:line="580" w:lineRule="exact"/>
        <w:ind w:firstLine="640"/>
        <w:jc w:val="both"/>
      </w:pPr>
      <w:r>
        <w:rPr>
          <w:rFonts w:ascii="仿宋_GB2312" w:hAnsi="仿宋_GB2312" w:eastAsia="仿宋_GB2312"/>
          <w:b w:val="0"/>
          <w:sz w:val="32"/>
        </w:rPr>
        <w:t>2024年度玛纳斯县人民法院（行政单位和参照公务员法管理事业单位）机关运行经费支出205.23万元，比上年增加57.34万元，增长38.77%，主要原因是：本年增加办公经费，劳务费，导致机关运行经费较上年增加。</w:t>
      </w:r>
    </w:p>
    <w:p w14:paraId="347779C8">
      <w:pPr>
        <w:spacing w:line="640" w:lineRule="exact"/>
        <w:ind w:firstLine="640"/>
        <w:jc w:val="both"/>
        <w:outlineLvl w:val="3"/>
      </w:pPr>
      <w:r>
        <w:rPr>
          <w:rFonts w:ascii="楷体_GB2312" w:hAnsi="楷体_GB2312" w:eastAsia="楷体_GB2312"/>
          <w:b/>
          <w:sz w:val="32"/>
        </w:rPr>
        <w:t>（二）政府采购情况</w:t>
      </w:r>
    </w:p>
    <w:p w14:paraId="4ADA3B18">
      <w:pPr>
        <w:spacing w:line="580" w:lineRule="exact"/>
        <w:ind w:firstLine="640"/>
        <w:jc w:val="both"/>
      </w:pPr>
      <w:r>
        <w:rPr>
          <w:rFonts w:ascii="仿宋_GB2312" w:hAnsi="仿宋_GB2312" w:eastAsia="仿宋_GB2312"/>
          <w:b w:val="0"/>
          <w:sz w:val="32"/>
        </w:rPr>
        <w:t>2024年度政府采购支出总额43.01万元，其中：政府采购货物支出25.26万元、政府采购工程支出0.30万元、政府采购服务支出17.45万元。</w:t>
      </w:r>
    </w:p>
    <w:p w14:paraId="1F82DB5A">
      <w:pPr>
        <w:spacing w:line="580" w:lineRule="exact"/>
        <w:ind w:firstLine="640"/>
        <w:jc w:val="both"/>
      </w:pPr>
      <w:r>
        <w:rPr>
          <w:rFonts w:ascii="仿宋_GB2312" w:hAnsi="仿宋_GB2312" w:eastAsia="仿宋_GB2312"/>
          <w:b w:val="0"/>
          <w:sz w:val="32"/>
        </w:rPr>
        <w:t>授予中小企业合同金额43.01万元，占政府采购支出总额的100.00%，其中：授予小微企业合同金额43.01万元，占政府采购支出总额的100.00%。</w:t>
      </w:r>
    </w:p>
    <w:p w14:paraId="6649E4A1">
      <w:pPr>
        <w:spacing w:line="640" w:lineRule="exact"/>
        <w:ind w:firstLine="640"/>
        <w:jc w:val="both"/>
        <w:outlineLvl w:val="3"/>
      </w:pPr>
      <w:r>
        <w:rPr>
          <w:rFonts w:ascii="楷体_GB2312" w:hAnsi="楷体_GB2312" w:eastAsia="楷体_GB2312"/>
          <w:b/>
          <w:sz w:val="32"/>
        </w:rPr>
        <w:t>（三）国有资产占用情况说明</w:t>
      </w:r>
    </w:p>
    <w:p w14:paraId="693B06FD">
      <w:pPr>
        <w:spacing w:line="580" w:lineRule="exact"/>
        <w:ind w:firstLine="640"/>
        <w:jc w:val="both"/>
      </w:pPr>
      <w:r>
        <w:rPr>
          <w:rFonts w:ascii="仿宋_GB2312" w:hAnsi="仿宋_GB2312" w:eastAsia="仿宋_GB2312"/>
          <w:b w:val="0"/>
          <w:sz w:val="32"/>
        </w:rPr>
        <w:t>截至2024年12月31日，房屋16,583.25平方米，价值4,851.95万元。车辆19辆，价值276.68万元，其中：副部（省）级及以上领导用车0辆、主要负责人用车0辆、机要通信用车0辆、应急保障用车0辆、执法执勤用车13辆、特种专业技术用车4辆、离退休干部服务用车0辆、其他用车2辆，其他用车主要是：一般公务用车。单价100万元（含）以上设备（不含车辆）1台（套）。</w:t>
      </w:r>
    </w:p>
    <w:p w14:paraId="07B6AAE6">
      <w:pPr>
        <w:spacing w:line="640" w:lineRule="exact"/>
        <w:ind w:firstLine="640"/>
        <w:jc w:val="both"/>
        <w:outlineLvl w:val="2"/>
      </w:pPr>
      <w:r>
        <w:rPr>
          <w:rFonts w:ascii="黑体" w:hAnsi="黑体" w:eastAsia="黑体"/>
          <w:sz w:val="32"/>
        </w:rPr>
        <w:t>十一、预算绩效的情况说明</w:t>
      </w:r>
    </w:p>
    <w:p w14:paraId="47415C6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根据预算绩效管理要求，本单位2024年度预算绩效管理形成整体支出绩效自评表1个，全年预算总额2,837.68万元，实际执行总额2,678.59万元；预算绩效评价项目</w:t>
      </w:r>
      <w:r>
        <w:rPr>
          <w:rFonts w:hint="eastAsia" w:ascii="仿宋_GB2312" w:hAnsi="仿宋_GB2312" w:eastAsia="仿宋_GB2312"/>
          <w:b w:val="0"/>
          <w:sz w:val="32"/>
          <w:lang w:val="en-US" w:eastAsia="zh-CN"/>
        </w:rPr>
        <w:t>5</w:t>
      </w:r>
      <w:r>
        <w:rPr>
          <w:rFonts w:ascii="仿宋_GB2312" w:hAnsi="仿宋_GB2312" w:eastAsia="仿宋_GB2312"/>
          <w:b w:val="0"/>
          <w:sz w:val="32"/>
        </w:rPr>
        <w:t>个，全年预算数</w:t>
      </w:r>
      <w:r>
        <w:rPr>
          <w:rFonts w:hint="eastAsia" w:ascii="仿宋_GB2312" w:hAnsi="仿宋_GB2312" w:eastAsia="仿宋_GB2312"/>
          <w:b w:val="0"/>
          <w:sz w:val="32"/>
        </w:rPr>
        <w:t>577.34</w:t>
      </w:r>
      <w:r>
        <w:rPr>
          <w:rFonts w:ascii="仿宋_GB2312" w:hAnsi="仿宋_GB2312" w:eastAsia="仿宋_GB2312"/>
          <w:b w:val="0"/>
          <w:sz w:val="32"/>
        </w:rPr>
        <w:t>万元，全年执行数</w:t>
      </w:r>
      <w:r>
        <w:rPr>
          <w:rFonts w:hint="eastAsia" w:ascii="仿宋_GB2312" w:hAnsi="仿宋_GB2312" w:eastAsia="仿宋_GB2312"/>
          <w:b w:val="0"/>
          <w:sz w:val="32"/>
        </w:rPr>
        <w:t>577.34</w:t>
      </w:r>
      <w:r>
        <w:rPr>
          <w:rFonts w:ascii="仿宋_GB2312" w:hAnsi="仿宋_GB2312" w:eastAsia="仿宋_GB2312"/>
          <w:b w:val="0"/>
          <w:sz w:val="32"/>
        </w:rPr>
        <w:t>万元。预算绩效管理取得的成效：一是在法定审限内结案，增加案件审判的透明度，促进社会公平正义；二是保障了审判法庭各类设备，当事人对案件审判工作满意度提升，保护人民群众合法权益，促进经济社会健康发展，维护社会公平正义。发现的问题及原因：一是案件数量逐年增长，疑难复杂案件不断增多，化解矛盾纠纷的难度不断加大，审判工作出现一些困难；二是部分审判设备老化，不能适应现有工作需求，影响工作效率。下一步改进措施：一是优化审判资源配置，强化能力建设，激发队伍内生动力；二是加快设备更新，保障审判工作顺利开展。具体附整体支出绩效自评表，项目支出绩效自评表和评价报告。</w:t>
      </w:r>
    </w:p>
    <w:p w14:paraId="66D25CB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C14F780">
        <w:tblPrEx>
          <w:tblCellMar>
            <w:top w:w="0" w:type="dxa"/>
            <w:left w:w="108" w:type="dxa"/>
            <w:bottom w:w="0" w:type="dxa"/>
            <w:right w:w="108" w:type="dxa"/>
          </w:tblCellMar>
        </w:tblPrEx>
        <w:tc>
          <w:tcPr>
            <w:tcW w:w="8847" w:type="dxa"/>
            <w:gridSpan w:val="9"/>
            <w:vAlign w:val="center"/>
          </w:tcPr>
          <w:p w14:paraId="77513CCA">
            <w:pPr>
              <w:jc w:val="center"/>
            </w:pPr>
            <w:r>
              <w:rPr>
                <w:rFonts w:ascii="宋体" w:hAnsi="宋体" w:eastAsia="宋体"/>
                <w:sz w:val="24"/>
              </w:rPr>
              <w:t>单位整体支出绩效自评表</w:t>
            </w:r>
          </w:p>
        </w:tc>
      </w:tr>
      <w:tr w14:paraId="29C24BD2">
        <w:tblPrEx>
          <w:tblCellMar>
            <w:top w:w="0" w:type="dxa"/>
            <w:left w:w="108" w:type="dxa"/>
            <w:bottom w:w="0" w:type="dxa"/>
            <w:right w:w="108" w:type="dxa"/>
          </w:tblCellMar>
        </w:tblPrEx>
        <w:tc>
          <w:tcPr>
            <w:tcW w:w="8847" w:type="dxa"/>
            <w:gridSpan w:val="9"/>
            <w:vAlign w:val="center"/>
          </w:tcPr>
          <w:p w14:paraId="43431EC0">
            <w:pPr>
              <w:jc w:val="center"/>
            </w:pPr>
            <w:r>
              <w:rPr>
                <w:rFonts w:ascii="宋体" w:hAnsi="宋体" w:eastAsia="宋体"/>
                <w:sz w:val="24"/>
              </w:rPr>
              <w:t>（2024年度）</w:t>
            </w:r>
          </w:p>
        </w:tc>
      </w:tr>
      <w:tr w14:paraId="547A4A5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5B3AA">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3B100BA">
            <w:pPr>
              <w:jc w:val="center"/>
            </w:pPr>
            <w:r>
              <w:rPr>
                <w:rFonts w:ascii="宋体" w:hAnsi="宋体" w:eastAsia="宋体"/>
                <w:sz w:val="16"/>
              </w:rPr>
              <w:t>玛纳斯县人民法院</w:t>
            </w:r>
          </w:p>
        </w:tc>
      </w:tr>
      <w:tr w14:paraId="3E221AF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4BB53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3ACE7">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A435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2FFD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302EA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DA044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2CB5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E10BC">
            <w:pPr>
              <w:jc w:val="center"/>
            </w:pPr>
            <w:r>
              <w:rPr>
                <w:rFonts w:ascii="宋体" w:hAnsi="宋体" w:eastAsia="宋体"/>
                <w:sz w:val="16"/>
              </w:rPr>
              <w:t>得分</w:t>
            </w:r>
          </w:p>
        </w:tc>
      </w:tr>
      <w:tr w14:paraId="49BD40A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0A176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C364A">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9601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AEFBD6">
            <w:pPr>
              <w:jc w:val="center"/>
            </w:pPr>
            <w:r>
              <w:rPr>
                <w:rFonts w:ascii="宋体" w:hAnsi="宋体" w:eastAsia="宋体"/>
                <w:sz w:val="16"/>
              </w:rPr>
              <w:t>456.25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579F1">
            <w:pPr>
              <w:jc w:val="center"/>
            </w:pPr>
            <w:r>
              <w:rPr>
                <w:rFonts w:ascii="宋体" w:hAnsi="宋体" w:eastAsia="宋体"/>
                <w:sz w:val="16"/>
              </w:rPr>
              <w:t>436.24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729D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5BBF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78094">
            <w:pPr>
              <w:jc w:val="center"/>
            </w:pPr>
            <w:r>
              <w:rPr>
                <w:rFonts w:ascii="宋体" w:hAnsi="宋体" w:eastAsia="宋体"/>
                <w:sz w:val="16"/>
              </w:rPr>
              <w:t>-</w:t>
            </w:r>
          </w:p>
        </w:tc>
      </w:tr>
      <w:tr w14:paraId="4EA290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C86E5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56DB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D91554">
            <w:pPr>
              <w:jc w:val="center"/>
            </w:pPr>
            <w:r>
              <w:rPr>
                <w:rFonts w:ascii="宋体" w:hAnsi="宋体" w:eastAsia="宋体"/>
                <w:sz w:val="16"/>
              </w:rPr>
              <w:t>2,349.98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BBE840">
            <w:pPr>
              <w:jc w:val="center"/>
            </w:pPr>
            <w:r>
              <w:rPr>
                <w:rFonts w:ascii="宋体" w:hAnsi="宋体" w:eastAsia="宋体"/>
                <w:sz w:val="16"/>
              </w:rPr>
              <w:t>2,110.66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FFAA9">
            <w:pPr>
              <w:jc w:val="center"/>
            </w:pPr>
            <w:r>
              <w:rPr>
                <w:rFonts w:ascii="宋体" w:hAnsi="宋体" w:eastAsia="宋体"/>
                <w:sz w:val="16"/>
              </w:rPr>
              <w:t>2,081.29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0357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6104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5B3FFE">
            <w:pPr>
              <w:jc w:val="center"/>
            </w:pPr>
            <w:r>
              <w:rPr>
                <w:rFonts w:ascii="宋体" w:hAnsi="宋体" w:eastAsia="宋体"/>
                <w:sz w:val="16"/>
              </w:rPr>
              <w:t>-</w:t>
            </w:r>
          </w:p>
        </w:tc>
      </w:tr>
      <w:tr w14:paraId="431797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6E629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CF82D">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D67CC">
            <w:pPr>
              <w:jc w:val="center"/>
            </w:pPr>
            <w:r>
              <w:rPr>
                <w:rFonts w:ascii="宋体" w:hAnsi="宋体" w:eastAsia="宋体"/>
                <w:sz w:val="16"/>
              </w:rPr>
              <w:t>209.19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C5AC6">
            <w:pPr>
              <w:jc w:val="center"/>
            </w:pPr>
            <w:r>
              <w:rPr>
                <w:rFonts w:ascii="宋体" w:hAnsi="宋体" w:eastAsia="宋体"/>
                <w:sz w:val="16"/>
              </w:rPr>
              <w:t>270.77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A48F2A">
            <w:pPr>
              <w:jc w:val="center"/>
            </w:pPr>
            <w:r>
              <w:rPr>
                <w:rFonts w:ascii="宋体" w:hAnsi="宋体" w:eastAsia="宋体"/>
                <w:sz w:val="16"/>
              </w:rPr>
              <w:t>161.06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7CB3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76D5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A317B">
            <w:pPr>
              <w:jc w:val="center"/>
            </w:pPr>
            <w:r>
              <w:rPr>
                <w:rFonts w:ascii="宋体" w:hAnsi="宋体" w:eastAsia="宋体"/>
                <w:sz w:val="16"/>
              </w:rPr>
              <w:t>-</w:t>
            </w:r>
          </w:p>
        </w:tc>
      </w:tr>
      <w:tr w14:paraId="26ADBB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EF233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E641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DDDC88">
            <w:pPr>
              <w:jc w:val="center"/>
            </w:pPr>
            <w:r>
              <w:rPr>
                <w:rFonts w:ascii="宋体" w:hAnsi="宋体" w:eastAsia="宋体"/>
                <w:sz w:val="16"/>
              </w:rPr>
              <w:t>2,559.17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335A6">
            <w:pPr>
              <w:jc w:val="center"/>
            </w:pPr>
            <w:r>
              <w:rPr>
                <w:rFonts w:ascii="宋体" w:hAnsi="宋体" w:eastAsia="宋体"/>
                <w:sz w:val="16"/>
              </w:rPr>
              <w:t>2,837.68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200C8">
            <w:pPr>
              <w:jc w:val="center"/>
            </w:pPr>
            <w:r>
              <w:rPr>
                <w:rFonts w:ascii="宋体" w:hAnsi="宋体" w:eastAsia="宋体"/>
                <w:sz w:val="16"/>
              </w:rPr>
              <w:t>2,678.59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0FF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8FA80">
            <w:pPr>
              <w:jc w:val="center"/>
            </w:pPr>
            <w:r>
              <w:rPr>
                <w:rFonts w:ascii="宋体" w:hAnsi="宋体" w:eastAsia="宋体"/>
                <w:sz w:val="16"/>
              </w:rPr>
              <w:t>94.39%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6BA7B">
            <w:pPr>
              <w:jc w:val="center"/>
            </w:pPr>
            <w:r>
              <w:rPr>
                <w:rFonts w:ascii="宋体" w:hAnsi="宋体" w:eastAsia="宋体"/>
                <w:sz w:val="16"/>
              </w:rPr>
              <w:t>9.44</w:t>
            </w:r>
          </w:p>
        </w:tc>
      </w:tr>
      <w:tr w14:paraId="2A416B1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6B8D5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3E526F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11B59D">
            <w:pPr>
              <w:jc w:val="center"/>
            </w:pPr>
            <w:r>
              <w:rPr>
                <w:rFonts w:ascii="宋体" w:hAnsi="宋体" w:eastAsia="宋体"/>
                <w:sz w:val="16"/>
              </w:rPr>
              <w:t>实际完成情况</w:t>
            </w:r>
          </w:p>
        </w:tc>
      </w:tr>
      <w:tr w14:paraId="66558C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17AF6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7A14EE">
            <w:pPr>
              <w:jc w:val="both"/>
            </w:pPr>
            <w:r>
              <w:rPr>
                <w:rFonts w:ascii="宋体" w:hAnsi="宋体" w:eastAsia="宋体"/>
                <w:sz w:val="16"/>
              </w:rPr>
              <w:t>目标一：履行审判执行工作职能，依法受理、审、执案件，努力让人民群众在每一个司法案件中感受到公平正义，保障</w:t>
            </w:r>
            <w:r>
              <w:rPr>
                <w:rFonts w:hint="eastAsia" w:ascii="宋体" w:hAnsi="宋体"/>
                <w:sz w:val="16"/>
                <w:lang w:eastAsia="zh-CN"/>
              </w:rPr>
              <w:t>法院</w:t>
            </w:r>
            <w:r>
              <w:rPr>
                <w:rFonts w:ascii="宋体" w:hAnsi="宋体" w:eastAsia="宋体"/>
                <w:sz w:val="16"/>
              </w:rPr>
              <w:t>审判执行中心工作顺利开展；目标二：提升法院装备，提高法院刑事案件，民商事案件，行政案件等案件审判公平正义，坚持司法为民，公正司法，保护人民群众合法权益。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DA5181">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全年预算数2,837.68万元，全年执行数2,678.59万元，执行率94.39%，2024年实际完成受理案件数量为7537件、审结案件数量为7023件、互联网公布裁判文书数量1365件、民商事案件</w:t>
            </w:r>
            <w:r>
              <w:rPr>
                <w:rFonts w:hint="eastAsia" w:ascii="宋体" w:hAnsi="宋体"/>
                <w:sz w:val="16"/>
                <w:lang w:eastAsia="zh-CN"/>
              </w:rPr>
              <w:t>调解</w:t>
            </w:r>
            <w:r>
              <w:rPr>
                <w:rFonts w:ascii="宋体" w:hAnsi="宋体" w:eastAsia="宋体"/>
                <w:sz w:val="16"/>
              </w:rPr>
              <w:t>案件率38.86%、同期结收比为101.09、</w:t>
            </w:r>
            <w:r>
              <w:rPr>
                <w:rFonts w:hint="eastAsia" w:ascii="宋体" w:hAnsi="宋体"/>
                <w:sz w:val="16"/>
                <w:lang w:eastAsia="zh-CN"/>
              </w:rPr>
              <w:t>案件执行结案率</w:t>
            </w:r>
            <w:r>
              <w:rPr>
                <w:rFonts w:ascii="宋体" w:hAnsi="宋体" w:eastAsia="宋体"/>
                <w:sz w:val="16"/>
              </w:rPr>
              <w:t>为91.49%、法定审限内结案率99.92%、平均时间审理指数64.13%，整体完成年初目标。</w:t>
            </w:r>
          </w:p>
        </w:tc>
      </w:tr>
      <w:tr w14:paraId="22CE770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A5EB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73F8E">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0A5C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B55685">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2182A1">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111D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72A3D">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E59F1">
            <w:pPr>
              <w:jc w:val="center"/>
            </w:pPr>
            <w:r>
              <w:rPr>
                <w:rFonts w:ascii="宋体" w:hAnsi="宋体" w:eastAsia="宋体"/>
                <w:sz w:val="16"/>
              </w:rPr>
              <w:t>得分</w:t>
            </w:r>
          </w:p>
        </w:tc>
      </w:tr>
      <w:tr w14:paraId="3C936B6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F8D483">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925B57">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6309C">
            <w:pPr>
              <w:jc w:val="center"/>
            </w:pPr>
            <w:r>
              <w:rPr>
                <w:rFonts w:ascii="宋体" w:hAnsi="宋体" w:eastAsia="宋体"/>
                <w:sz w:val="16"/>
              </w:rPr>
              <w:t>受理案件数量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9A442">
            <w:pPr>
              <w:jc w:val="center"/>
            </w:pPr>
            <w:r>
              <w:rPr>
                <w:rFonts w:ascii="宋体" w:hAnsi="宋体" w:eastAsia="宋体"/>
                <w:sz w:val="16"/>
              </w:rPr>
              <w:t>&gt;=7700件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4405A">
            <w:pPr>
              <w:jc w:val="center"/>
            </w:pPr>
            <w:r>
              <w:rPr>
                <w:rFonts w:ascii="宋体" w:hAnsi="宋体" w:eastAsia="宋体"/>
                <w:sz w:val="16"/>
              </w:rPr>
              <w:t>《玛纳斯县人民法院关于贯彻落实全区人民法院工作会议精神的任务分解方案》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CD0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B301F">
            <w:pPr>
              <w:jc w:val="center"/>
            </w:pPr>
            <w:r>
              <w:rPr>
                <w:rFonts w:ascii="宋体" w:hAnsi="宋体" w:eastAsia="宋体"/>
                <w:sz w:val="16"/>
              </w:rPr>
              <w:t>9626件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A885A">
            <w:pPr>
              <w:jc w:val="center"/>
            </w:pPr>
            <w:r>
              <w:rPr>
                <w:rFonts w:ascii="宋体" w:hAnsi="宋体" w:eastAsia="宋体"/>
                <w:sz w:val="16"/>
              </w:rPr>
              <w:t>10</w:t>
            </w:r>
          </w:p>
        </w:tc>
      </w:tr>
      <w:tr w14:paraId="034AD7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5ADA8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4099F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F8AD2">
            <w:pPr>
              <w:jc w:val="center"/>
            </w:pPr>
            <w:r>
              <w:rPr>
                <w:rFonts w:ascii="宋体" w:hAnsi="宋体" w:eastAsia="宋体"/>
                <w:sz w:val="16"/>
              </w:rPr>
              <w:t>审结案件数量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5DDF5">
            <w:pPr>
              <w:jc w:val="center"/>
            </w:pPr>
            <w:r>
              <w:rPr>
                <w:rFonts w:ascii="宋体" w:hAnsi="宋体" w:eastAsia="宋体"/>
                <w:sz w:val="16"/>
              </w:rPr>
              <w:t>&gt;=7400件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FD7F51">
            <w:pPr>
              <w:jc w:val="center"/>
            </w:pPr>
            <w:r>
              <w:rPr>
                <w:rFonts w:ascii="宋体" w:hAnsi="宋体" w:eastAsia="宋体"/>
                <w:sz w:val="16"/>
              </w:rPr>
              <w:t>《玛纳斯县人民法院关于贯彻落实全区人民法院工作会议精神的任务分解方案》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04AD4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20836">
            <w:pPr>
              <w:jc w:val="center"/>
            </w:pPr>
            <w:r>
              <w:rPr>
                <w:rFonts w:ascii="宋体" w:hAnsi="宋体" w:eastAsia="宋体"/>
                <w:sz w:val="16"/>
              </w:rPr>
              <w:t>9626件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4AEF97">
            <w:pPr>
              <w:jc w:val="center"/>
            </w:pPr>
            <w:r>
              <w:rPr>
                <w:rFonts w:ascii="宋体" w:hAnsi="宋体" w:eastAsia="宋体"/>
                <w:sz w:val="16"/>
              </w:rPr>
              <w:t>10</w:t>
            </w:r>
          </w:p>
        </w:tc>
      </w:tr>
      <w:tr w14:paraId="4CD36D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7266F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62CBC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68CC6">
            <w:pPr>
              <w:jc w:val="center"/>
            </w:pPr>
            <w:r>
              <w:rPr>
                <w:rFonts w:ascii="宋体" w:hAnsi="宋体" w:eastAsia="宋体"/>
                <w:sz w:val="16"/>
              </w:rPr>
              <w:t>互联网公布裁判文书数量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EBB4D2">
            <w:pPr>
              <w:jc w:val="center"/>
            </w:pPr>
            <w:r>
              <w:rPr>
                <w:rFonts w:ascii="宋体" w:hAnsi="宋体" w:eastAsia="宋体"/>
                <w:sz w:val="16"/>
              </w:rPr>
              <w:t>&gt;=2000件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C1F11">
            <w:pPr>
              <w:jc w:val="center"/>
            </w:pPr>
            <w:r>
              <w:rPr>
                <w:rFonts w:ascii="宋体" w:hAnsi="宋体" w:eastAsia="宋体"/>
                <w:sz w:val="16"/>
              </w:rPr>
              <w:t>《玛纳斯县人民法院关于贯彻落实全区人民法院工作会议精神的任务分解方案》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793E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E6FD7">
            <w:pPr>
              <w:jc w:val="center"/>
            </w:pPr>
            <w:r>
              <w:rPr>
                <w:rFonts w:ascii="宋体" w:hAnsi="宋体" w:eastAsia="宋体"/>
                <w:sz w:val="16"/>
              </w:rPr>
              <w:t>1365件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F5EBE4">
            <w:pPr>
              <w:jc w:val="center"/>
            </w:pPr>
            <w:r>
              <w:rPr>
                <w:rFonts w:ascii="宋体" w:hAnsi="宋体" w:eastAsia="宋体"/>
                <w:sz w:val="16"/>
              </w:rPr>
              <w:t>10.24</w:t>
            </w:r>
          </w:p>
        </w:tc>
      </w:tr>
      <w:tr w14:paraId="59CE68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48032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656EA4">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D2745">
            <w:pPr>
              <w:jc w:val="center"/>
            </w:pPr>
            <w:r>
              <w:rPr>
                <w:rFonts w:ascii="宋体" w:hAnsi="宋体" w:eastAsia="宋体"/>
                <w:sz w:val="16"/>
              </w:rPr>
              <w:t>民商事案件</w:t>
            </w:r>
            <w:r>
              <w:rPr>
                <w:rFonts w:hint="eastAsia" w:ascii="宋体" w:hAnsi="宋体"/>
                <w:sz w:val="16"/>
                <w:lang w:eastAsia="zh-CN"/>
              </w:rPr>
              <w:t>调解案件</w:t>
            </w:r>
            <w:r>
              <w:rPr>
                <w:rFonts w:ascii="宋体" w:hAnsi="宋体" w:eastAsia="宋体"/>
                <w:sz w:val="16"/>
              </w:rPr>
              <w:t>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100683">
            <w:pPr>
              <w:jc w:val="center"/>
            </w:pPr>
            <w:r>
              <w:rPr>
                <w:rFonts w:ascii="宋体" w:hAnsi="宋体" w:eastAsia="宋体"/>
                <w:sz w:val="16"/>
              </w:rPr>
              <w:t>&gt;=60%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AC223B">
            <w:pPr>
              <w:jc w:val="center"/>
            </w:pPr>
            <w:r>
              <w:rPr>
                <w:rFonts w:ascii="宋体" w:hAnsi="宋体" w:eastAsia="宋体"/>
                <w:sz w:val="16"/>
              </w:rPr>
              <w:t>《玛纳斯县人民法院关于贯彻落实全区人民法院工作会议精神的任务分解方案》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93D0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510655">
            <w:pPr>
              <w:jc w:val="center"/>
            </w:pPr>
            <w:r>
              <w:rPr>
                <w:rFonts w:ascii="宋体" w:hAnsi="宋体" w:eastAsia="宋体"/>
                <w:sz w:val="16"/>
              </w:rPr>
              <w:t>38.86%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AF20E">
            <w:pPr>
              <w:jc w:val="center"/>
            </w:pPr>
            <w:r>
              <w:rPr>
                <w:rFonts w:ascii="宋体" w:hAnsi="宋体" w:eastAsia="宋体"/>
                <w:sz w:val="16"/>
              </w:rPr>
              <w:t>9.71</w:t>
            </w:r>
          </w:p>
        </w:tc>
      </w:tr>
      <w:tr w14:paraId="3E9338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31A37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F40ED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10299">
            <w:pPr>
              <w:jc w:val="center"/>
            </w:pPr>
            <w:r>
              <w:rPr>
                <w:rFonts w:ascii="宋体" w:hAnsi="宋体" w:eastAsia="宋体"/>
                <w:sz w:val="16"/>
              </w:rPr>
              <w:t>同期结收比</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E401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C8271">
            <w:pPr>
              <w:jc w:val="center"/>
            </w:pPr>
            <w:r>
              <w:rPr>
                <w:rFonts w:ascii="宋体" w:hAnsi="宋体" w:eastAsia="宋体"/>
                <w:sz w:val="16"/>
              </w:rPr>
              <w:t>《玛纳斯县人民法院关于贯彻落实全区人民法院工作会议精神的任务分解方案》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146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8551E">
            <w:pPr>
              <w:jc w:val="center"/>
            </w:pPr>
            <w:r>
              <w:rPr>
                <w:rFonts w:ascii="宋体" w:hAnsi="宋体" w:eastAsia="宋体"/>
                <w:sz w:val="16"/>
              </w:rPr>
              <w:t>101.09%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42A51">
            <w:pPr>
              <w:jc w:val="center"/>
            </w:pPr>
            <w:r>
              <w:rPr>
                <w:rFonts w:ascii="宋体" w:hAnsi="宋体" w:eastAsia="宋体"/>
                <w:sz w:val="16"/>
              </w:rPr>
              <w:t>10</w:t>
            </w:r>
          </w:p>
        </w:tc>
      </w:tr>
      <w:tr w14:paraId="621DE13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B84EB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D1B1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79BCC">
            <w:pPr>
              <w:jc w:val="center"/>
            </w:pPr>
            <w:r>
              <w:rPr>
                <w:rFonts w:ascii="宋体" w:hAnsi="宋体" w:eastAsia="宋体"/>
                <w:sz w:val="16"/>
              </w:rPr>
              <w:t>案件执行结案率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27993">
            <w:pPr>
              <w:jc w:val="center"/>
            </w:pPr>
            <w:r>
              <w:rPr>
                <w:rFonts w:ascii="宋体" w:hAnsi="宋体" w:eastAsia="宋体"/>
                <w:sz w:val="16"/>
              </w:rPr>
              <w:t>&gt;=85%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1A1FA">
            <w:pPr>
              <w:jc w:val="center"/>
            </w:pPr>
            <w:r>
              <w:rPr>
                <w:rFonts w:ascii="宋体" w:hAnsi="宋体" w:eastAsia="宋体"/>
                <w:sz w:val="16"/>
              </w:rPr>
              <w:t>《玛纳斯县人民法院关于贯彻落实全区人民法院工作会议精神《玛纳斯县人民法院关于贯彻落实全区人民法院工作会议精神的任务分解方案》的任务分解方案》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57C4E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98122">
            <w:pPr>
              <w:jc w:val="center"/>
            </w:pPr>
            <w:r>
              <w:rPr>
                <w:rFonts w:ascii="宋体" w:hAnsi="宋体" w:eastAsia="宋体"/>
                <w:sz w:val="16"/>
              </w:rPr>
              <w:t>91.49%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A5D4F9">
            <w:pPr>
              <w:jc w:val="center"/>
            </w:pPr>
            <w:r>
              <w:rPr>
                <w:rFonts w:ascii="宋体" w:hAnsi="宋体" w:eastAsia="宋体"/>
                <w:sz w:val="16"/>
              </w:rPr>
              <w:t>10</w:t>
            </w:r>
          </w:p>
        </w:tc>
      </w:tr>
      <w:tr w14:paraId="433483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62AFA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F6751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E3CC1">
            <w:pPr>
              <w:jc w:val="center"/>
            </w:pPr>
            <w:r>
              <w:rPr>
                <w:rFonts w:ascii="宋体" w:hAnsi="宋体" w:eastAsia="宋体"/>
                <w:sz w:val="16"/>
              </w:rPr>
              <w:t>法定审限内结案率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99C6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AFD94">
            <w:pPr>
              <w:jc w:val="center"/>
            </w:pPr>
            <w:r>
              <w:rPr>
                <w:rFonts w:ascii="宋体" w:hAnsi="宋体" w:eastAsia="宋体"/>
                <w:sz w:val="16"/>
              </w:rPr>
              <w:t>《玛纳斯县人民法院关于贯彻落实全区人民法院工作会议精神的任务分解方案》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5CC2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EB6C4">
            <w:pPr>
              <w:jc w:val="center"/>
            </w:pPr>
            <w:r>
              <w:rPr>
                <w:rFonts w:ascii="宋体" w:hAnsi="宋体" w:eastAsia="宋体"/>
                <w:sz w:val="16"/>
              </w:rPr>
              <w:t>99.92%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36EB9">
            <w:pPr>
              <w:jc w:val="center"/>
            </w:pPr>
            <w:r>
              <w:rPr>
                <w:rFonts w:ascii="宋体" w:hAnsi="宋体" w:eastAsia="宋体"/>
                <w:sz w:val="16"/>
              </w:rPr>
              <w:t>10</w:t>
            </w:r>
          </w:p>
        </w:tc>
      </w:tr>
      <w:tr w14:paraId="0879BD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60639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F58D4">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4E5D2">
            <w:pPr>
              <w:jc w:val="center"/>
            </w:pPr>
            <w:r>
              <w:rPr>
                <w:rFonts w:ascii="宋体" w:hAnsi="宋体" w:eastAsia="宋体"/>
                <w:sz w:val="16"/>
              </w:rPr>
              <w:t>平均时间审理指数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935E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DE353">
            <w:pPr>
              <w:jc w:val="center"/>
            </w:pPr>
            <w:r>
              <w:rPr>
                <w:rFonts w:ascii="宋体" w:hAnsi="宋体" w:eastAsia="宋体"/>
                <w:sz w:val="16"/>
              </w:rPr>
              <w:t>《玛纳斯县人民法院关于贯彻落实全区人民法院工作会议精神的任务分解方案》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877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5E9B6">
            <w:pPr>
              <w:jc w:val="center"/>
            </w:pPr>
            <w:r>
              <w:rPr>
                <w:rFonts w:ascii="宋体" w:hAnsi="宋体" w:eastAsia="宋体"/>
                <w:sz w:val="16"/>
              </w:rPr>
              <w:t>64.13%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20D1D">
            <w:pPr>
              <w:jc w:val="center"/>
            </w:pPr>
            <w:r>
              <w:rPr>
                <w:rFonts w:ascii="宋体" w:hAnsi="宋体" w:eastAsia="宋体"/>
                <w:sz w:val="16"/>
              </w:rPr>
              <w:t>7.13</w:t>
            </w:r>
          </w:p>
        </w:tc>
      </w:tr>
    </w:tbl>
    <w:p w14:paraId="32A1616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78855860">
        <w:tblPrEx>
          <w:tblCellMar>
            <w:top w:w="0" w:type="dxa"/>
            <w:left w:w="108" w:type="dxa"/>
            <w:bottom w:w="0" w:type="dxa"/>
            <w:right w:w="108" w:type="dxa"/>
          </w:tblCellMar>
        </w:tblPrEx>
        <w:tc>
          <w:tcPr>
            <w:tcW w:w="8848" w:type="dxa"/>
            <w:gridSpan w:val="14"/>
            <w:vAlign w:val="center"/>
          </w:tcPr>
          <w:p w14:paraId="31FA96BD">
            <w:pPr>
              <w:jc w:val="center"/>
            </w:pPr>
            <w:r>
              <w:rPr>
                <w:rFonts w:ascii="宋体" w:hAnsi="宋体" w:eastAsia="宋体"/>
                <w:sz w:val="24"/>
              </w:rPr>
              <w:t>项目支出绩效自评表</w:t>
            </w:r>
          </w:p>
        </w:tc>
      </w:tr>
      <w:tr w14:paraId="106A83A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214A518">
            <w:pPr>
              <w:jc w:val="center"/>
            </w:pPr>
            <w:r>
              <w:rPr>
                <w:rFonts w:ascii="宋体" w:hAnsi="宋体" w:eastAsia="宋体"/>
                <w:sz w:val="24"/>
              </w:rPr>
              <w:t>(2024年度)</w:t>
            </w:r>
          </w:p>
        </w:tc>
      </w:tr>
      <w:tr w14:paraId="4581EE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7960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339233">
            <w:pPr>
              <w:jc w:val="center"/>
            </w:pPr>
            <w:r>
              <w:rPr>
                <w:rFonts w:ascii="宋体" w:hAnsi="宋体" w:eastAsia="宋体"/>
                <w:sz w:val="16"/>
              </w:rPr>
              <w:t>北五岔人民法庭智慧法庭</w:t>
            </w:r>
          </w:p>
        </w:tc>
      </w:tr>
      <w:tr w14:paraId="64F145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7E00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B90EBA">
            <w:pPr>
              <w:jc w:val="center"/>
            </w:pPr>
            <w:r>
              <w:rPr>
                <w:rFonts w:ascii="宋体" w:hAnsi="宋体" w:eastAsia="宋体"/>
                <w:sz w:val="16"/>
              </w:rPr>
              <w:t>玛纳斯县人民法院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6C15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27FFF4">
            <w:pPr>
              <w:jc w:val="center"/>
            </w:pPr>
            <w:r>
              <w:rPr>
                <w:rFonts w:ascii="宋体" w:hAnsi="宋体" w:eastAsia="宋体"/>
                <w:sz w:val="16"/>
              </w:rPr>
              <w:t>玛纳斯县人民法院</w:t>
            </w:r>
          </w:p>
        </w:tc>
      </w:tr>
      <w:tr w14:paraId="23C8EF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4B0CB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170D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C74D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9AE7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1A0E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DA1C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B903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BEE2E">
            <w:pPr>
              <w:jc w:val="center"/>
            </w:pPr>
            <w:r>
              <w:rPr>
                <w:rFonts w:ascii="宋体" w:hAnsi="宋体" w:eastAsia="宋体"/>
                <w:sz w:val="16"/>
              </w:rPr>
              <w:t>得分</w:t>
            </w:r>
          </w:p>
        </w:tc>
      </w:tr>
      <w:tr w14:paraId="59876C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E34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3183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53883">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29E26">
            <w:pPr>
              <w:jc w:val="center"/>
            </w:pPr>
            <w:r>
              <w:rPr>
                <w:rFonts w:ascii="宋体" w:hAnsi="宋体" w:eastAsia="宋体"/>
                <w:sz w:val="16"/>
              </w:rPr>
              <w:t>34.63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79903">
            <w:pPr>
              <w:jc w:val="center"/>
            </w:pPr>
            <w:r>
              <w:rPr>
                <w:rFonts w:ascii="宋体" w:hAnsi="宋体" w:eastAsia="宋体"/>
                <w:sz w:val="16"/>
              </w:rPr>
              <w:t>34.63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E344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5953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845CE">
            <w:pPr>
              <w:jc w:val="center"/>
            </w:pPr>
            <w:r>
              <w:rPr>
                <w:rFonts w:ascii="宋体" w:hAnsi="宋体" w:eastAsia="宋体"/>
                <w:sz w:val="16"/>
              </w:rPr>
              <w:t>10.00</w:t>
            </w:r>
          </w:p>
        </w:tc>
      </w:tr>
      <w:tr w14:paraId="05DD26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3ED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DD5D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71434">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5E2CA">
            <w:pPr>
              <w:jc w:val="center"/>
            </w:pPr>
            <w:r>
              <w:rPr>
                <w:rFonts w:ascii="宋体" w:hAnsi="宋体" w:eastAsia="宋体"/>
                <w:sz w:val="16"/>
              </w:rPr>
              <w:t>34.63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49131">
            <w:pPr>
              <w:jc w:val="center"/>
            </w:pPr>
            <w:r>
              <w:rPr>
                <w:rFonts w:ascii="宋体" w:hAnsi="宋体" w:eastAsia="宋体"/>
                <w:sz w:val="16"/>
              </w:rPr>
              <w:t>34.63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D4B9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6B3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F303D">
            <w:pPr>
              <w:jc w:val="center"/>
            </w:pPr>
            <w:r>
              <w:rPr>
                <w:rFonts w:ascii="宋体" w:hAnsi="宋体" w:eastAsia="宋体"/>
                <w:sz w:val="16"/>
              </w:rPr>
              <w:t>—</w:t>
            </w:r>
          </w:p>
        </w:tc>
      </w:tr>
      <w:tr w14:paraId="15D9F6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DDD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E9C4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AC1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2B1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D04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739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A18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B0867">
            <w:pPr>
              <w:jc w:val="center"/>
            </w:pPr>
            <w:r>
              <w:rPr>
                <w:rFonts w:ascii="宋体" w:hAnsi="宋体" w:eastAsia="宋体"/>
                <w:sz w:val="16"/>
              </w:rPr>
              <w:t>—</w:t>
            </w:r>
          </w:p>
        </w:tc>
      </w:tr>
      <w:tr w14:paraId="4CA371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2D05E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27FD1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C4E01B">
            <w:pPr>
              <w:jc w:val="center"/>
            </w:pPr>
            <w:r>
              <w:rPr>
                <w:rFonts w:ascii="宋体" w:hAnsi="宋体" w:eastAsia="宋体"/>
                <w:sz w:val="16"/>
              </w:rPr>
              <w:t>实际完成情况</w:t>
            </w:r>
          </w:p>
        </w:tc>
      </w:tr>
      <w:tr w14:paraId="3B2028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2BBF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C34855">
            <w:pPr>
              <w:jc w:val="both"/>
            </w:pPr>
            <w:r>
              <w:rPr>
                <w:rFonts w:ascii="宋体" w:hAnsi="宋体" w:eastAsia="宋体"/>
                <w:sz w:val="16"/>
              </w:rPr>
              <w:t>完成北五岔法庭信息化设备采购，提高法院信息化整体运用水平，推进智慧法院项目实施，保障北五岔镇人民法庭案件审判工作能够顺利开展，保障业务办案及正常办公顺利进行。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65EE99">
            <w:pPr>
              <w:jc w:val="both"/>
            </w:pPr>
            <w:r>
              <w:rPr>
                <w:rFonts w:ascii="宋体" w:hAnsi="宋体" w:eastAsia="宋体"/>
                <w:sz w:val="16"/>
              </w:rPr>
              <w:t>截至2024年12月31日，该项目实际购置1套设备，购置信息系统应用，项目在2024年11月8日完成收尾，预算资金控制在34.63</w:t>
            </w:r>
            <w:r>
              <w:rPr>
                <w:rFonts w:hint="eastAsia" w:ascii="宋体" w:hAnsi="宋体"/>
                <w:sz w:val="16"/>
                <w:lang w:eastAsia="zh-CN"/>
              </w:rPr>
              <w:t>万元</w:t>
            </w:r>
            <w:r>
              <w:rPr>
                <w:rFonts w:ascii="宋体" w:hAnsi="宋体" w:eastAsia="宋体"/>
                <w:sz w:val="16"/>
              </w:rPr>
              <w:t>，设备使用率达到100%，有效保障了审判服务工作。干警满意度达到95%。</w:t>
            </w:r>
          </w:p>
        </w:tc>
      </w:tr>
      <w:tr w14:paraId="115FAA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829D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1B0D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0821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CEE2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0D7F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20B8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C3A9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7D82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CBFD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06F0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D387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9267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D608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A3D5C">
            <w:pPr>
              <w:jc w:val="center"/>
            </w:pPr>
            <w:r>
              <w:rPr>
                <w:rFonts w:ascii="宋体" w:hAnsi="宋体" w:eastAsia="宋体"/>
                <w:sz w:val="16"/>
              </w:rPr>
              <w:t>偏差原因分析及改进措施</w:t>
            </w:r>
          </w:p>
        </w:tc>
      </w:tr>
      <w:tr w14:paraId="6A348D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4C3D3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A65E8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A6787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7A854">
            <w:pPr>
              <w:jc w:val="center"/>
            </w:pPr>
            <w:r>
              <w:rPr>
                <w:rFonts w:ascii="宋体" w:hAnsi="宋体" w:eastAsia="宋体"/>
                <w:sz w:val="16"/>
              </w:rPr>
              <w:t>设备购置数量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85C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6173D">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E5033">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0F1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FE9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E5F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395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8C6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531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F1382">
            <w:pPr>
              <w:jc w:val="center"/>
            </w:pPr>
          </w:p>
        </w:tc>
      </w:tr>
      <w:tr w14:paraId="2FF128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AF94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0A9E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844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42622">
            <w:pPr>
              <w:jc w:val="center"/>
            </w:pPr>
            <w:r>
              <w:rPr>
                <w:rFonts w:ascii="宋体" w:hAnsi="宋体" w:eastAsia="宋体"/>
                <w:sz w:val="16"/>
              </w:rPr>
              <w:t>信息系统应用数量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1E5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4466F">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9387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B06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322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D27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F13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CA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A49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2E23E">
            <w:pPr>
              <w:jc w:val="center"/>
            </w:pPr>
          </w:p>
        </w:tc>
      </w:tr>
      <w:tr w14:paraId="71DA03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71B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CD3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83C6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2048D">
            <w:pPr>
              <w:jc w:val="center"/>
            </w:pPr>
            <w:r>
              <w:rPr>
                <w:rFonts w:ascii="宋体" w:hAnsi="宋体" w:eastAsia="宋体"/>
                <w:sz w:val="16"/>
              </w:rPr>
              <w:t>设备调试安装合格率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FB3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A29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D25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C00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3E2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367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B32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D98D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C6B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EC92A">
            <w:pPr>
              <w:jc w:val="center"/>
            </w:pPr>
          </w:p>
        </w:tc>
      </w:tr>
      <w:tr w14:paraId="549B09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36B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C6D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EF78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115C2">
            <w:pPr>
              <w:jc w:val="center"/>
            </w:pPr>
            <w:r>
              <w:rPr>
                <w:rFonts w:ascii="宋体" w:hAnsi="宋体" w:eastAsia="宋体"/>
                <w:sz w:val="16"/>
              </w:rPr>
              <w:t>项目验收完成时间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D28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FF5F1">
            <w:pPr>
              <w:jc w:val="center"/>
            </w:pPr>
            <w:r>
              <w:rPr>
                <w:rFonts w:ascii="宋体" w:hAnsi="宋体" w:eastAsia="宋体"/>
                <w:sz w:val="16"/>
              </w:rPr>
              <w:t>2024年11月10日前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1615B">
            <w:pPr>
              <w:jc w:val="center"/>
            </w:pPr>
            <w:r>
              <w:rPr>
                <w:rFonts w:ascii="宋体" w:hAnsi="宋体" w:eastAsia="宋体"/>
                <w:sz w:val="16"/>
              </w:rPr>
              <w:t>2024年11月8日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1C6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71F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96B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B34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7F94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478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3BDBE">
            <w:pPr>
              <w:jc w:val="center"/>
            </w:pPr>
          </w:p>
        </w:tc>
      </w:tr>
      <w:tr w14:paraId="772EA3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09A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B467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8DC1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E33E7">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129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F8F40">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97C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EB8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B84C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918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F62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B0E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EB9C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359E7">
            <w:pPr>
              <w:jc w:val="center"/>
            </w:pPr>
          </w:p>
        </w:tc>
      </w:tr>
      <w:tr w14:paraId="154037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8792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2D999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5526F">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3FC0B">
            <w:pPr>
              <w:jc w:val="center"/>
            </w:pPr>
            <w:r>
              <w:rPr>
                <w:rFonts w:ascii="宋体" w:hAnsi="宋体" w:eastAsia="宋体"/>
                <w:sz w:val="16"/>
              </w:rPr>
              <w:t>设备使用率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B16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519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E2E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EDC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FF9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3B6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649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84C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0B4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3340B">
            <w:pPr>
              <w:jc w:val="center"/>
            </w:pPr>
          </w:p>
        </w:tc>
      </w:tr>
      <w:tr w14:paraId="6552D9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BB5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D73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DA0D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1ADDA">
            <w:pPr>
              <w:jc w:val="center"/>
            </w:pPr>
            <w:r>
              <w:rPr>
                <w:rFonts w:ascii="宋体" w:hAnsi="宋体" w:eastAsia="宋体"/>
                <w:sz w:val="16"/>
              </w:rPr>
              <w:t>有效保障审判服务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A38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D909D">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FFCE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C50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1A6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433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C4F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D71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042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8945E">
            <w:pPr>
              <w:jc w:val="center"/>
            </w:pPr>
          </w:p>
        </w:tc>
      </w:tr>
      <w:tr w14:paraId="36F522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119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98D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D0D9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08677">
            <w:pPr>
              <w:jc w:val="center"/>
            </w:pPr>
            <w:r>
              <w:rPr>
                <w:rFonts w:ascii="宋体" w:hAnsi="宋体" w:eastAsia="宋体"/>
                <w:sz w:val="16"/>
              </w:rPr>
              <w:t>干警满意度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424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34FC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09A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5EA4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A1AA5">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188EE">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7A5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8DC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65D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6A85D">
            <w:pPr>
              <w:jc w:val="center"/>
            </w:pPr>
            <w:r>
              <w:rPr>
                <w:rFonts w:ascii="宋体" w:hAnsi="宋体" w:eastAsia="宋体"/>
                <w:sz w:val="16"/>
              </w:rPr>
              <w:t>偏差主要是在干警满意度这</w:t>
            </w:r>
            <w:r>
              <w:rPr>
                <w:rFonts w:hint="eastAsia" w:ascii="宋体" w:hAnsi="宋体"/>
                <w:sz w:val="16"/>
                <w:lang w:eastAsia="zh-CN"/>
              </w:rPr>
              <w:t>一项</w:t>
            </w:r>
            <w:r>
              <w:rPr>
                <w:rFonts w:ascii="宋体" w:hAnsi="宋体" w:eastAsia="宋体"/>
                <w:sz w:val="16"/>
              </w:rPr>
              <w:t>指标，目标设置较低，完成较高。</w:t>
            </w:r>
          </w:p>
        </w:tc>
      </w:tr>
      <w:tr w14:paraId="09A5F33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F0E69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2D0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783D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7420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49DF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02153">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F52C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C069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F856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7124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EA65EE"/>
        </w:tc>
      </w:tr>
    </w:tbl>
    <w:p w14:paraId="0735C4AD">
      <w:r>
        <w:br w:type="page"/>
      </w:r>
    </w:p>
    <w:tbl>
      <w:tblPr>
        <w:tblStyle w:val="9"/>
        <w:tblW w:w="0" w:type="auto"/>
        <w:tblInd w:w="0" w:type="dxa"/>
        <w:tblLayout w:type="autofit"/>
        <w:tblCellMar>
          <w:top w:w="0" w:type="dxa"/>
          <w:left w:w="108" w:type="dxa"/>
          <w:bottom w:w="0" w:type="dxa"/>
          <w:right w:w="108" w:type="dxa"/>
        </w:tblCellMar>
      </w:tblPr>
      <w:tblGrid>
        <w:gridCol w:w="617"/>
        <w:gridCol w:w="594"/>
        <w:gridCol w:w="594"/>
        <w:gridCol w:w="696"/>
        <w:gridCol w:w="606"/>
        <w:gridCol w:w="696"/>
        <w:gridCol w:w="776"/>
        <w:gridCol w:w="776"/>
        <w:gridCol w:w="630"/>
        <w:gridCol w:w="594"/>
        <w:gridCol w:w="594"/>
        <w:gridCol w:w="596"/>
        <w:gridCol w:w="595"/>
        <w:gridCol w:w="696"/>
      </w:tblGrid>
      <w:tr w14:paraId="2F5EDEBA">
        <w:tblPrEx>
          <w:tblCellMar>
            <w:top w:w="0" w:type="dxa"/>
            <w:left w:w="108" w:type="dxa"/>
            <w:bottom w:w="0" w:type="dxa"/>
            <w:right w:w="108" w:type="dxa"/>
          </w:tblCellMar>
        </w:tblPrEx>
        <w:tc>
          <w:tcPr>
            <w:tcW w:w="8848" w:type="dxa"/>
            <w:gridSpan w:val="14"/>
            <w:vAlign w:val="center"/>
          </w:tcPr>
          <w:p w14:paraId="6ADD4166">
            <w:pPr>
              <w:jc w:val="center"/>
            </w:pPr>
            <w:r>
              <w:rPr>
                <w:rFonts w:ascii="宋体" w:hAnsi="宋体" w:eastAsia="宋体"/>
                <w:sz w:val="24"/>
              </w:rPr>
              <w:t>项目支出绩效自评表</w:t>
            </w:r>
          </w:p>
        </w:tc>
      </w:tr>
      <w:tr w14:paraId="3107AF2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EF05494">
            <w:pPr>
              <w:jc w:val="center"/>
            </w:pPr>
            <w:r>
              <w:rPr>
                <w:rFonts w:ascii="宋体" w:hAnsi="宋体" w:eastAsia="宋体"/>
                <w:sz w:val="24"/>
              </w:rPr>
              <w:t>(2024年度)</w:t>
            </w:r>
          </w:p>
        </w:tc>
      </w:tr>
      <w:tr w14:paraId="5C035B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BA86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11ACC1E">
            <w:pPr>
              <w:jc w:val="center"/>
            </w:pPr>
            <w:r>
              <w:rPr>
                <w:rFonts w:ascii="宋体" w:hAnsi="宋体" w:eastAsia="宋体"/>
                <w:sz w:val="16"/>
              </w:rPr>
              <w:t>机关运行费补助（自有资金）</w:t>
            </w:r>
          </w:p>
        </w:tc>
      </w:tr>
      <w:tr w14:paraId="097A56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E007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0907E5">
            <w:pPr>
              <w:jc w:val="center"/>
            </w:pPr>
            <w:r>
              <w:rPr>
                <w:rFonts w:ascii="宋体" w:hAnsi="宋体" w:eastAsia="宋体"/>
                <w:sz w:val="16"/>
              </w:rPr>
              <w:t>玛纳斯县人民法院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28B9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3282B3">
            <w:pPr>
              <w:jc w:val="center"/>
            </w:pPr>
            <w:r>
              <w:rPr>
                <w:rFonts w:ascii="宋体" w:hAnsi="宋体" w:eastAsia="宋体"/>
                <w:sz w:val="16"/>
              </w:rPr>
              <w:t>玛纳斯县人民法院</w:t>
            </w:r>
          </w:p>
        </w:tc>
      </w:tr>
      <w:tr w14:paraId="39F3ED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E6363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6B42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3DBE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54B9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D05C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1A2C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55911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41EB4">
            <w:pPr>
              <w:jc w:val="center"/>
            </w:pPr>
            <w:r>
              <w:rPr>
                <w:rFonts w:ascii="宋体" w:hAnsi="宋体" w:eastAsia="宋体"/>
                <w:sz w:val="16"/>
              </w:rPr>
              <w:t>得分</w:t>
            </w:r>
          </w:p>
        </w:tc>
      </w:tr>
      <w:tr w14:paraId="4D72B1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1B86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1EB2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FE432">
            <w:pPr>
              <w:jc w:val="center"/>
            </w:pPr>
            <w:r>
              <w:rPr>
                <w:rFonts w:ascii="宋体" w:hAnsi="宋体" w:eastAsia="宋体"/>
                <w:sz w:val="16"/>
              </w:rPr>
              <w:t>89.99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31BB5">
            <w:pPr>
              <w:jc w:val="center"/>
            </w:pPr>
            <w:r>
              <w:rPr>
                <w:rFonts w:ascii="宋体" w:hAnsi="宋体" w:eastAsia="宋体"/>
                <w:sz w:val="16"/>
              </w:rPr>
              <w:t>41.99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B1FF2">
            <w:pPr>
              <w:jc w:val="center"/>
            </w:pPr>
            <w:r>
              <w:rPr>
                <w:rFonts w:ascii="宋体" w:hAnsi="宋体" w:eastAsia="宋体"/>
                <w:sz w:val="16"/>
              </w:rPr>
              <w:t>41.99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BDDE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D5BB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E620D">
            <w:pPr>
              <w:jc w:val="center"/>
            </w:pPr>
            <w:r>
              <w:rPr>
                <w:rFonts w:ascii="宋体" w:hAnsi="宋体" w:eastAsia="宋体"/>
                <w:sz w:val="16"/>
              </w:rPr>
              <w:t>10.00</w:t>
            </w:r>
          </w:p>
        </w:tc>
      </w:tr>
      <w:tr w14:paraId="6E4A02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2E87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5E59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EAD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C00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23A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7C4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7D9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85760">
            <w:pPr>
              <w:jc w:val="center"/>
            </w:pPr>
            <w:r>
              <w:rPr>
                <w:rFonts w:ascii="宋体" w:hAnsi="宋体" w:eastAsia="宋体"/>
                <w:sz w:val="16"/>
              </w:rPr>
              <w:t>—</w:t>
            </w:r>
          </w:p>
        </w:tc>
      </w:tr>
      <w:tr w14:paraId="714F22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4078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C3FD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CDDCB">
            <w:pPr>
              <w:jc w:val="center"/>
            </w:pPr>
            <w:r>
              <w:rPr>
                <w:rFonts w:ascii="宋体" w:hAnsi="宋体" w:eastAsia="宋体"/>
                <w:sz w:val="16"/>
              </w:rPr>
              <w:t>89.99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097BE">
            <w:pPr>
              <w:jc w:val="center"/>
            </w:pPr>
            <w:r>
              <w:rPr>
                <w:rFonts w:ascii="宋体" w:hAnsi="宋体" w:eastAsia="宋体"/>
                <w:sz w:val="16"/>
              </w:rPr>
              <w:t>41.99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8F691">
            <w:pPr>
              <w:jc w:val="center"/>
            </w:pPr>
            <w:r>
              <w:rPr>
                <w:rFonts w:ascii="宋体" w:hAnsi="宋体" w:eastAsia="宋体"/>
                <w:sz w:val="16"/>
              </w:rPr>
              <w:t>41.99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DB53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393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8EAAE">
            <w:pPr>
              <w:jc w:val="center"/>
            </w:pPr>
            <w:r>
              <w:rPr>
                <w:rFonts w:ascii="宋体" w:hAnsi="宋体" w:eastAsia="宋体"/>
                <w:sz w:val="16"/>
              </w:rPr>
              <w:t>—</w:t>
            </w:r>
          </w:p>
        </w:tc>
      </w:tr>
      <w:tr w14:paraId="5A146F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D807F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A5E87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A0032C">
            <w:pPr>
              <w:jc w:val="center"/>
            </w:pPr>
            <w:r>
              <w:rPr>
                <w:rFonts w:ascii="宋体" w:hAnsi="宋体" w:eastAsia="宋体"/>
                <w:sz w:val="16"/>
              </w:rPr>
              <w:t>实际完成情况</w:t>
            </w:r>
          </w:p>
        </w:tc>
      </w:tr>
      <w:tr w14:paraId="4A5A45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4F33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61EFD2">
            <w:pPr>
              <w:jc w:val="both"/>
            </w:pPr>
            <w:r>
              <w:rPr>
                <w:rFonts w:ascii="宋体" w:hAnsi="宋体" w:eastAsia="宋体"/>
                <w:sz w:val="16"/>
              </w:rPr>
              <w:t>为保证基层人民法院履行职能的经费需要，项目总投资41.99万元，该项目用于购置办公用品及书记员办公经费等日常经费支出的补充，保障案件审判工作能够顺利开展，保障业务办案及正常办公顺利进行。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50190A">
            <w:pPr>
              <w:jc w:val="both"/>
            </w:pPr>
            <w:r>
              <w:rPr>
                <w:rFonts w:ascii="宋体" w:hAnsi="宋体" w:eastAsia="宋体"/>
                <w:sz w:val="16"/>
              </w:rPr>
              <w:t>截至2024年12月31日，该项目实际购买设备2个，聘请2</w:t>
            </w:r>
            <w:r>
              <w:rPr>
                <w:rFonts w:hint="eastAsia" w:ascii="宋体" w:hAnsi="宋体"/>
                <w:sz w:val="16"/>
                <w:lang w:eastAsia="zh-CN"/>
              </w:rPr>
              <w:t>名</w:t>
            </w:r>
            <w:r>
              <w:rPr>
                <w:rFonts w:ascii="宋体" w:hAnsi="宋体" w:eastAsia="宋体"/>
                <w:sz w:val="16"/>
              </w:rPr>
              <w:t>劳务派遣人员，设备验收合格率达到100%，设备购置成本10万元，维修维护成本为5.49万元，委托业务费成本为24万元，办公费用为2.5万元，</w:t>
            </w:r>
            <w:r>
              <w:rPr>
                <w:rFonts w:hint="eastAsia" w:ascii="宋体" w:hAnsi="宋体"/>
                <w:sz w:val="16"/>
                <w:lang w:eastAsia="zh-CN"/>
              </w:rPr>
              <w:t>预算外资金</w:t>
            </w:r>
            <w:r>
              <w:rPr>
                <w:rFonts w:ascii="宋体" w:hAnsi="宋体" w:eastAsia="宋体"/>
                <w:sz w:val="16"/>
              </w:rPr>
              <w:t>已全部支付完毕，支付率100%，民事调解率达到39.07%，干警满意度达到100%。</w:t>
            </w:r>
          </w:p>
        </w:tc>
      </w:tr>
      <w:tr w14:paraId="382B5D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3587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E00A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2285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0CCB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22DF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12D3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779F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B782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97DA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C46F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1B9F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E5B5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C278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E3FBF">
            <w:pPr>
              <w:jc w:val="center"/>
            </w:pPr>
            <w:r>
              <w:rPr>
                <w:rFonts w:ascii="宋体" w:hAnsi="宋体" w:eastAsia="宋体"/>
                <w:sz w:val="16"/>
              </w:rPr>
              <w:t>偏差原因分析及改进措施</w:t>
            </w:r>
          </w:p>
        </w:tc>
      </w:tr>
      <w:tr w14:paraId="311A58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EBE63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2DD73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5AC66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6921A">
            <w:pPr>
              <w:jc w:val="center"/>
            </w:pPr>
            <w:r>
              <w:rPr>
                <w:rFonts w:ascii="宋体" w:hAnsi="宋体" w:eastAsia="宋体"/>
                <w:sz w:val="16"/>
              </w:rPr>
              <w:t>设备购置数量（个）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4DC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86357">
            <w:pPr>
              <w:jc w:val="center"/>
            </w:pPr>
            <w:r>
              <w:rPr>
                <w:rFonts w:ascii="宋体" w:hAnsi="宋体" w:eastAsia="宋体"/>
                <w:sz w:val="16"/>
              </w:rPr>
              <w:t>&gt;=2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A091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6E3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BFD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C94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0FF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A34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BCD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5FFCD">
            <w:pPr>
              <w:jc w:val="center"/>
            </w:pPr>
          </w:p>
        </w:tc>
      </w:tr>
      <w:tr w14:paraId="7075C9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3A5E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B93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E9A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4C111">
            <w:pPr>
              <w:jc w:val="center"/>
            </w:pPr>
            <w:r>
              <w:rPr>
                <w:rFonts w:ascii="宋体" w:hAnsi="宋体" w:eastAsia="宋体"/>
                <w:sz w:val="16"/>
              </w:rPr>
              <w:t>聘请劳务人员数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5E8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68F04">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E674E">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94329">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D99C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E99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2A0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CC4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379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62E07">
            <w:pPr>
              <w:jc w:val="center"/>
            </w:pPr>
            <w:r>
              <w:rPr>
                <w:rFonts w:ascii="宋体" w:hAnsi="宋体" w:eastAsia="宋体"/>
                <w:sz w:val="16"/>
              </w:rPr>
              <w:t>目标设置过于保守，实际经费有2个人从该项目资金支付</w:t>
            </w:r>
          </w:p>
        </w:tc>
      </w:tr>
      <w:tr w14:paraId="58BA82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22D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A08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8D91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1E682">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A09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7F7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96F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BA9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190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8B5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F6A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D57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506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A0941">
            <w:pPr>
              <w:jc w:val="center"/>
            </w:pPr>
          </w:p>
        </w:tc>
      </w:tr>
      <w:tr w14:paraId="5CAEC5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F8D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DFA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62C8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9F025">
            <w:pPr>
              <w:jc w:val="center"/>
            </w:pPr>
            <w:r>
              <w:rPr>
                <w:rFonts w:ascii="宋体" w:hAnsi="宋体" w:eastAsia="宋体"/>
                <w:sz w:val="16"/>
              </w:rPr>
              <w:t>设备购买完成时间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76D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56FD8">
            <w:pPr>
              <w:jc w:val="center"/>
            </w:pPr>
            <w:r>
              <w:rPr>
                <w:rFonts w:ascii="宋体" w:hAnsi="宋体" w:eastAsia="宋体"/>
                <w:sz w:val="16"/>
              </w:rPr>
              <w:t>2024年3月20日前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248A4">
            <w:pPr>
              <w:jc w:val="center"/>
            </w:pPr>
            <w:r>
              <w:rPr>
                <w:rFonts w:ascii="宋体" w:hAnsi="宋体" w:eastAsia="宋体"/>
                <w:sz w:val="16"/>
              </w:rPr>
              <w:t>2024年3月14日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035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D0B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1D7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8E7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B8B8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1D3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FEE3D">
            <w:pPr>
              <w:jc w:val="center"/>
            </w:pPr>
          </w:p>
        </w:tc>
      </w:tr>
      <w:tr w14:paraId="44E103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F49AE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05F96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F5EA0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29D1D">
            <w:pPr>
              <w:jc w:val="center"/>
            </w:pPr>
            <w:r>
              <w:rPr>
                <w:rFonts w:ascii="宋体" w:hAnsi="宋体" w:eastAsia="宋体"/>
                <w:sz w:val="16"/>
              </w:rPr>
              <w:t>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F784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AAB9D">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FB418">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EC7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627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43D7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7E4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752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F78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2A9CB">
            <w:pPr>
              <w:jc w:val="center"/>
            </w:pPr>
          </w:p>
        </w:tc>
      </w:tr>
      <w:tr w14:paraId="777E39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D3D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35F6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048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5B975">
            <w:pPr>
              <w:jc w:val="center"/>
            </w:pPr>
            <w:r>
              <w:rPr>
                <w:rFonts w:ascii="宋体" w:hAnsi="宋体" w:eastAsia="宋体"/>
                <w:sz w:val="16"/>
              </w:rPr>
              <w:t>维修维护费成本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CD0F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429D4">
            <w:pPr>
              <w:jc w:val="center"/>
            </w:pPr>
            <w:r>
              <w:rPr>
                <w:rFonts w:ascii="宋体" w:hAnsi="宋体" w:eastAsia="宋体"/>
                <w:sz w:val="16"/>
              </w:rPr>
              <w:t>&lt;=5.49万元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5DF56">
            <w:pPr>
              <w:jc w:val="center"/>
            </w:pPr>
            <w:r>
              <w:rPr>
                <w:rFonts w:ascii="宋体" w:hAnsi="宋体" w:eastAsia="宋体"/>
                <w:sz w:val="16"/>
              </w:rPr>
              <w:t>=5.49万元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FC4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E320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9517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BBA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5D2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CD35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A5AEB">
            <w:pPr>
              <w:jc w:val="center"/>
            </w:pPr>
          </w:p>
        </w:tc>
      </w:tr>
      <w:tr w14:paraId="45E9DA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93B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199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4C1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B60EF">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12A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9A01F">
            <w:pPr>
              <w:jc w:val="center"/>
            </w:pPr>
            <w:r>
              <w:rPr>
                <w:rFonts w:ascii="宋体" w:hAnsi="宋体" w:eastAsia="宋体"/>
                <w:sz w:val="16"/>
              </w:rPr>
              <w:t>&lt;=24万元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282FE">
            <w:pPr>
              <w:jc w:val="center"/>
            </w:pPr>
            <w:r>
              <w:rPr>
                <w:rFonts w:ascii="宋体" w:hAnsi="宋体" w:eastAsia="宋体"/>
                <w:sz w:val="16"/>
              </w:rPr>
              <w: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BD0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E03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7FC1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0CF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6B1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76BE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6D96B">
            <w:pPr>
              <w:jc w:val="center"/>
            </w:pPr>
          </w:p>
        </w:tc>
      </w:tr>
      <w:tr w14:paraId="310661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8A8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22C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21D3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B2D0D">
            <w:pPr>
              <w:jc w:val="center"/>
            </w:pPr>
            <w:r>
              <w:rPr>
                <w:rFonts w:ascii="宋体" w:hAnsi="宋体" w:eastAsia="宋体"/>
                <w:sz w:val="16"/>
              </w:rPr>
              <w:t>办公费用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6DBD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BDA32">
            <w:pPr>
              <w:jc w:val="center"/>
            </w:pPr>
            <w:r>
              <w:rPr>
                <w:rFonts w:ascii="宋体" w:hAnsi="宋体" w:eastAsia="宋体"/>
                <w:sz w:val="16"/>
              </w:rPr>
              <w:t>&lt;=2.50万元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AB482">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BBB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ADE3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673D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AC2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866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41D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C634B">
            <w:pPr>
              <w:jc w:val="center"/>
            </w:pPr>
          </w:p>
        </w:tc>
      </w:tr>
      <w:tr w14:paraId="4C24A0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99E4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EFC3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D7C8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13929">
            <w:pPr>
              <w:jc w:val="center"/>
            </w:pPr>
            <w:r>
              <w:rPr>
                <w:rFonts w:ascii="宋体" w:hAnsi="宋体" w:eastAsia="宋体"/>
                <w:sz w:val="16"/>
              </w:rPr>
              <w:t>民事案件调解数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61C1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A0D65">
            <w:pPr>
              <w:jc w:val="center"/>
            </w:pPr>
            <w:r>
              <w:rPr>
                <w:rFonts w:ascii="宋体" w:hAnsi="宋体" w:eastAsia="宋体"/>
                <w:sz w:val="16"/>
              </w:rPr>
              <w:t>&gt;=39%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69C1D">
            <w:pPr>
              <w:jc w:val="center"/>
            </w:pPr>
            <w:r>
              <w:rPr>
                <w:rFonts w:ascii="宋体" w:hAnsi="宋体" w:eastAsia="宋体"/>
                <w:sz w:val="16"/>
              </w:rPr>
              <w:t>=39.07%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B9B62">
            <w:pPr>
              <w:jc w:val="center"/>
            </w:pPr>
            <w:r>
              <w:rPr>
                <w:rFonts w:ascii="宋体" w:hAnsi="宋体" w:eastAsia="宋体"/>
                <w:sz w:val="16"/>
              </w:rPr>
              <w:t>100.17%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2F36E">
            <w:pPr>
              <w:jc w:val="center"/>
            </w:pPr>
            <w:r>
              <w:rPr>
                <w:rFonts w:ascii="宋体" w:hAnsi="宋体" w:eastAsia="宋体"/>
                <w:sz w:val="16"/>
              </w:rPr>
              <w:t>19.97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09C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7F9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3E3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D8A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3920A">
            <w:pPr>
              <w:jc w:val="center"/>
            </w:pPr>
          </w:p>
        </w:tc>
      </w:tr>
      <w:tr w14:paraId="48BDF4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FBE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315C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7DA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4C551">
            <w:pPr>
              <w:jc w:val="center"/>
            </w:pPr>
            <w:r>
              <w:rPr>
                <w:rFonts w:ascii="宋体" w:hAnsi="宋体" w:eastAsia="宋体"/>
                <w:sz w:val="16"/>
              </w:rPr>
              <w:t>干警对保障情况的满意度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B8E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4774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A3F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2024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1CA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973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69B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0478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E4A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50CF3">
            <w:pPr>
              <w:jc w:val="center"/>
            </w:pPr>
            <w:r>
              <w:rPr>
                <w:rFonts w:ascii="宋体" w:hAnsi="宋体" w:eastAsia="宋体"/>
                <w:sz w:val="16"/>
              </w:rPr>
              <w:t>目标设置保守，实际完成值达到100%。</w:t>
            </w:r>
          </w:p>
        </w:tc>
      </w:tr>
      <w:tr w14:paraId="0CBEC4B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8D1175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535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3497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6816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9382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0FAE1">
            <w:pPr>
              <w:jc w:val="center"/>
            </w:pPr>
            <w:r>
              <w:rPr>
                <w:rFonts w:ascii="宋体" w:hAnsi="宋体" w:eastAsia="宋体"/>
                <w:sz w:val="16"/>
              </w:rPr>
              <w:t>89.97分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8B07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3330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FDF1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CDAC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384B13"/>
        </w:tc>
      </w:tr>
    </w:tbl>
    <w:p w14:paraId="4C0207D6">
      <w:r>
        <w:br w:type="page"/>
      </w:r>
    </w:p>
    <w:p w14:paraId="258E36FA">
      <w:pPr>
        <w:spacing w:line="640" w:lineRule="exact"/>
        <w:ind w:firstLine="640"/>
        <w:jc w:val="both"/>
        <w:outlineLvl w:val="2"/>
      </w:pPr>
      <w:r>
        <w:rPr>
          <w:rFonts w:ascii="黑体" w:hAnsi="黑体" w:eastAsia="黑体"/>
          <w:sz w:val="32"/>
        </w:rPr>
        <w:t>十二、其他需说明的事项</w:t>
      </w:r>
    </w:p>
    <w:p w14:paraId="43CC1FAC">
      <w:pPr>
        <w:spacing w:line="580" w:lineRule="exact"/>
        <w:ind w:firstLine="640"/>
        <w:jc w:val="both"/>
      </w:pPr>
      <w:r>
        <w:rPr>
          <w:rFonts w:ascii="仿宋_GB2312" w:hAnsi="仿宋_GB2312" w:eastAsia="仿宋_GB2312"/>
          <w:b w:val="0"/>
          <w:sz w:val="32"/>
        </w:rPr>
        <w:t>本年本单位SM项目3个，全年预算数500.72万元，全年执行数500.72万元。</w:t>
      </w:r>
    </w:p>
    <w:p w14:paraId="63C59C33">
      <w:r>
        <w:br w:type="page"/>
      </w:r>
    </w:p>
    <w:p w14:paraId="0F70FBA1">
      <w:pPr>
        <w:spacing w:line="240" w:lineRule="auto"/>
        <w:jc w:val="center"/>
        <w:outlineLvl w:val="1"/>
      </w:pPr>
      <w:r>
        <w:rPr>
          <w:rFonts w:ascii="黑体" w:hAnsi="黑体" w:eastAsia="黑体"/>
          <w:sz w:val="32"/>
        </w:rPr>
        <w:t>第三部分 专业名词解释</w:t>
      </w:r>
    </w:p>
    <w:p w14:paraId="568ED71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B06B39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705B04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9A13CC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58D928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17A346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7BE15C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AC1B88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B19EBC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01A06A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54E228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B07443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46F44D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AA9A5B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FDF7C39">
      <w:r>
        <w:br w:type="page"/>
      </w:r>
    </w:p>
    <w:p w14:paraId="1C7F8C7A">
      <w:pPr>
        <w:spacing w:line="240" w:lineRule="auto"/>
        <w:jc w:val="center"/>
        <w:outlineLvl w:val="1"/>
      </w:pPr>
      <w:r>
        <w:rPr>
          <w:rFonts w:ascii="黑体" w:hAnsi="黑体" w:eastAsia="黑体"/>
          <w:sz w:val="32"/>
        </w:rPr>
        <w:t>第四部分 部门决算报表（见附表）</w:t>
      </w:r>
    </w:p>
    <w:p w14:paraId="7803E660">
      <w:pPr>
        <w:spacing w:line="240" w:lineRule="auto"/>
        <w:ind w:firstLine="640"/>
        <w:jc w:val="both"/>
      </w:pPr>
      <w:r>
        <w:rPr>
          <w:rFonts w:ascii="仿宋_GB2312" w:hAnsi="仿宋_GB2312" w:eastAsia="仿宋_GB2312"/>
          <w:b w:val="0"/>
          <w:sz w:val="32"/>
        </w:rPr>
        <w:t>一、《收入支出决算总表》</w:t>
      </w:r>
    </w:p>
    <w:p w14:paraId="43ED8406">
      <w:pPr>
        <w:spacing w:line="240" w:lineRule="auto"/>
        <w:ind w:firstLine="640"/>
        <w:jc w:val="both"/>
      </w:pPr>
      <w:r>
        <w:rPr>
          <w:rFonts w:ascii="仿宋_GB2312" w:hAnsi="仿宋_GB2312" w:eastAsia="仿宋_GB2312"/>
          <w:b w:val="0"/>
          <w:sz w:val="32"/>
        </w:rPr>
        <w:t>二、《收入决算表》</w:t>
      </w:r>
    </w:p>
    <w:p w14:paraId="408EBA3B">
      <w:pPr>
        <w:spacing w:line="240" w:lineRule="auto"/>
        <w:ind w:firstLine="640"/>
        <w:jc w:val="both"/>
      </w:pPr>
      <w:r>
        <w:rPr>
          <w:rFonts w:ascii="仿宋_GB2312" w:hAnsi="仿宋_GB2312" w:eastAsia="仿宋_GB2312"/>
          <w:b w:val="0"/>
          <w:sz w:val="32"/>
        </w:rPr>
        <w:t>三、《支出决算表》</w:t>
      </w:r>
    </w:p>
    <w:p w14:paraId="7B17A0EE">
      <w:pPr>
        <w:spacing w:line="240" w:lineRule="auto"/>
        <w:ind w:firstLine="640"/>
        <w:jc w:val="both"/>
      </w:pPr>
      <w:r>
        <w:rPr>
          <w:rFonts w:ascii="仿宋_GB2312" w:hAnsi="仿宋_GB2312" w:eastAsia="仿宋_GB2312"/>
          <w:b w:val="0"/>
          <w:sz w:val="32"/>
        </w:rPr>
        <w:t>四、《财政拨款收入支出决算总表》</w:t>
      </w:r>
    </w:p>
    <w:p w14:paraId="4361343D">
      <w:pPr>
        <w:spacing w:line="240" w:lineRule="auto"/>
        <w:ind w:firstLine="640"/>
        <w:jc w:val="both"/>
      </w:pPr>
      <w:r>
        <w:rPr>
          <w:rFonts w:ascii="仿宋_GB2312" w:hAnsi="仿宋_GB2312" w:eastAsia="仿宋_GB2312"/>
          <w:b w:val="0"/>
          <w:sz w:val="32"/>
        </w:rPr>
        <w:t>五、《一般公共预算财政拨款支出决算表》</w:t>
      </w:r>
    </w:p>
    <w:p w14:paraId="000CAF79">
      <w:pPr>
        <w:spacing w:line="240" w:lineRule="auto"/>
        <w:ind w:firstLine="640"/>
        <w:jc w:val="both"/>
      </w:pPr>
      <w:r>
        <w:rPr>
          <w:rFonts w:ascii="仿宋_GB2312" w:hAnsi="仿宋_GB2312" w:eastAsia="仿宋_GB2312"/>
          <w:b w:val="0"/>
          <w:sz w:val="32"/>
        </w:rPr>
        <w:t>六、《一般公共预算财政拨款基本支出决算表》</w:t>
      </w:r>
    </w:p>
    <w:p w14:paraId="20882C2D">
      <w:pPr>
        <w:spacing w:line="240" w:lineRule="auto"/>
        <w:ind w:firstLine="640"/>
        <w:jc w:val="both"/>
      </w:pPr>
      <w:r>
        <w:rPr>
          <w:rFonts w:ascii="仿宋_GB2312" w:hAnsi="仿宋_GB2312" w:eastAsia="仿宋_GB2312"/>
          <w:b w:val="0"/>
          <w:sz w:val="32"/>
        </w:rPr>
        <w:t>七、《政府性基金预算财政拨款收入支出决算表》</w:t>
      </w:r>
    </w:p>
    <w:p w14:paraId="5A117AF7">
      <w:pPr>
        <w:spacing w:line="240" w:lineRule="auto"/>
        <w:ind w:firstLine="640"/>
        <w:jc w:val="both"/>
      </w:pPr>
      <w:r>
        <w:rPr>
          <w:rFonts w:ascii="仿宋_GB2312" w:hAnsi="仿宋_GB2312" w:eastAsia="仿宋_GB2312"/>
          <w:b w:val="0"/>
          <w:sz w:val="32"/>
        </w:rPr>
        <w:t>八、《国有资本经营预算财政拨款收入支出决算表》</w:t>
      </w:r>
    </w:p>
    <w:p w14:paraId="7EC2ACA9">
      <w:pPr>
        <w:spacing w:line="240" w:lineRule="auto"/>
        <w:ind w:firstLine="640"/>
        <w:jc w:val="both"/>
      </w:pPr>
      <w:r>
        <w:rPr>
          <w:rFonts w:ascii="仿宋_GB2312" w:hAnsi="仿宋_GB2312" w:eastAsia="仿宋_GB2312"/>
          <w:b w:val="0"/>
          <w:sz w:val="32"/>
        </w:rPr>
        <w:t>九、《财政拨款“三公”经费支出决算表》</w:t>
      </w:r>
    </w:p>
    <w:p w14:paraId="5F8FB32A">
      <w:pPr>
        <w:spacing w:line="240" w:lineRule="auto"/>
        <w:ind w:firstLine="640"/>
        <w:jc w:val="both"/>
      </w:pPr>
    </w:p>
    <w:p w14:paraId="41112C3B">
      <w:pPr>
        <w:spacing w:line="240" w:lineRule="auto"/>
        <w:ind w:firstLine="640"/>
        <w:jc w:val="both"/>
      </w:pPr>
    </w:p>
    <w:p w14:paraId="7A0C8A14">
      <w:pPr>
        <w:spacing w:line="240" w:lineRule="auto"/>
        <w:ind w:firstLine="640"/>
        <w:jc w:val="both"/>
      </w:pPr>
    </w:p>
    <w:p w14:paraId="27BFBBE7">
      <w:pPr>
        <w:spacing w:line="240" w:lineRule="auto"/>
        <w:ind w:firstLine="640"/>
        <w:jc w:val="both"/>
      </w:pPr>
    </w:p>
    <w:p w14:paraId="5F4351E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22F98"/>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3A1BBE"/>
    <w:rsid w:val="3EA7725F"/>
    <w:rsid w:val="3EC014A1"/>
    <w:rsid w:val="40834692"/>
    <w:rsid w:val="423A32B2"/>
    <w:rsid w:val="423C0CB4"/>
    <w:rsid w:val="42482A0C"/>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4E41F2A"/>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5355</Words>
  <Characters>6190</Characters>
  <Lines>0</Lines>
  <Paragraphs>0</Paragraphs>
  <TotalTime>4</TotalTime>
  <ScaleCrop>false</ScaleCrop>
  <LinksUpToDate>false</LinksUpToDate>
  <CharactersWithSpaces>6198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2025-10-16T04:04:02Z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