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玛纳斯县人民检察院2024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071DE35">
      <w:r>
        <w:br w:type="page"/>
      </w:r>
    </w:p>
    <w:p w14:paraId="0CD399FA">
      <w:pPr>
        <w:spacing w:line="640" w:lineRule="exact"/>
        <w:jc w:val="center"/>
        <w:outlineLvl w:val="1"/>
      </w:pPr>
      <w:r>
        <w:rPr>
          <w:rFonts w:ascii="黑体" w:hAnsi="黑体" w:eastAsia="黑体"/>
          <w:sz w:val="32"/>
        </w:rPr>
        <w:t>第一部分 单位概况</w:t>
      </w:r>
    </w:p>
    <w:p w14:paraId="635FCE8E">
      <w:pPr>
        <w:spacing w:line="640" w:lineRule="exact"/>
        <w:ind w:firstLine="640"/>
        <w:jc w:val="both"/>
        <w:outlineLvl w:val="2"/>
      </w:pPr>
      <w:r>
        <w:rPr>
          <w:rFonts w:ascii="黑体" w:hAnsi="黑体" w:eastAsia="黑体"/>
          <w:sz w:val="32"/>
        </w:rPr>
        <w:t>一、主要职能</w:t>
      </w:r>
    </w:p>
    <w:p w14:paraId="58A25586">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19C4BFFB">
      <w:pPr>
        <w:spacing w:line="580" w:lineRule="exact"/>
        <w:ind w:firstLine="640"/>
        <w:jc w:val="both"/>
        <w:rPr>
          <w:spacing w:val="-17"/>
          <w:sz w:val="32"/>
        </w:rPr>
      </w:pPr>
      <w:r>
        <w:rPr>
          <w:rFonts w:ascii="仿宋_GB2312" w:hAnsi="仿宋_GB2312" w:eastAsia="仿宋_GB2312"/>
          <w:spacing w:val="-17"/>
          <w:sz w:val="32"/>
        </w:rPr>
        <w:t>（二）依法向玛纳斯县人民代表大会及其常务委员会提出议案。</w:t>
      </w:r>
    </w:p>
    <w:p w14:paraId="74EE9E16">
      <w:pPr>
        <w:spacing w:line="580" w:lineRule="exact"/>
        <w:ind w:firstLine="640"/>
        <w:jc w:val="both"/>
      </w:pPr>
      <w:r>
        <w:rPr>
          <w:rFonts w:ascii="仿宋_GB2312" w:hAnsi="仿宋_GB2312" w:eastAsia="仿宋_GB2312"/>
          <w:spacing w:val="-17"/>
          <w:sz w:val="32"/>
        </w:rPr>
        <w:t>（三）贯彻落实检察工作方针、总体规划，完成检察工作任务。</w:t>
      </w:r>
    </w:p>
    <w:p w14:paraId="4DCF8431">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1459BA4">
      <w:pPr>
        <w:spacing w:line="580" w:lineRule="exact"/>
        <w:ind w:firstLine="640"/>
        <w:jc w:val="both"/>
      </w:pPr>
      <w:r>
        <w:rPr>
          <w:rFonts w:ascii="仿宋_GB2312" w:hAnsi="仿宋_GB2312" w:eastAsia="仿宋_GB2312"/>
          <w:sz w:val="32"/>
        </w:rPr>
        <w:t>（五）负责应由玛纳斯县人民检察院承办的刑事、民事、行政诉讼活动及刑事、民事、行政判决和裁定等生效法律文书执行的法律监督工作。</w:t>
      </w:r>
    </w:p>
    <w:p w14:paraId="1325C39D">
      <w:pPr>
        <w:spacing w:line="580" w:lineRule="exact"/>
        <w:ind w:firstLine="640"/>
        <w:jc w:val="both"/>
      </w:pPr>
      <w:r>
        <w:rPr>
          <w:rFonts w:ascii="仿宋_GB2312" w:hAnsi="仿宋_GB2312" w:eastAsia="仿宋_GB2312"/>
          <w:sz w:val="32"/>
        </w:rPr>
        <w:t>（六）负责对玛纳斯县基层人民法院已发生法律效力、确有错误的判决和裁定，依法提请昌吉州人民检察院向昌吉州中级人民法院提出抗诉。</w:t>
      </w:r>
    </w:p>
    <w:p w14:paraId="09C92AD9">
      <w:pPr>
        <w:spacing w:line="580" w:lineRule="exact"/>
        <w:ind w:firstLine="640"/>
        <w:jc w:val="both"/>
      </w:pPr>
      <w:r>
        <w:rPr>
          <w:rFonts w:ascii="仿宋_GB2312" w:hAnsi="仿宋_GB2312" w:eastAsia="仿宋_GB2312"/>
          <w:spacing w:val="-17"/>
          <w:sz w:val="32"/>
        </w:rPr>
        <w:t>（七）负责应由玛纳斯县人民检察院承办的提起公益诉讼工作。</w:t>
      </w:r>
    </w:p>
    <w:p w14:paraId="6390E7EA">
      <w:pPr>
        <w:spacing w:line="580" w:lineRule="exact"/>
        <w:ind w:firstLine="640"/>
        <w:jc w:val="both"/>
      </w:pPr>
      <w:r>
        <w:rPr>
          <w:rFonts w:ascii="仿宋_GB2312" w:hAnsi="仿宋_GB2312" w:eastAsia="仿宋_GB2312"/>
          <w:sz w:val="32"/>
        </w:rPr>
        <w:t>（八）负责应由玛纳斯县人民检察院承办的对安置教育机构、看守所、社区矫正机构等执法活动的法律监督工作。</w:t>
      </w:r>
    </w:p>
    <w:p w14:paraId="49A98D7C">
      <w:pPr>
        <w:spacing w:line="580" w:lineRule="exact"/>
        <w:ind w:firstLine="640"/>
        <w:jc w:val="both"/>
      </w:pPr>
      <w:r>
        <w:rPr>
          <w:rFonts w:ascii="仿宋_GB2312" w:hAnsi="仿宋_GB2312" w:eastAsia="仿宋_GB2312"/>
          <w:sz w:val="32"/>
        </w:rPr>
        <w:t>（九）受理向玛纳斯县人民检察院的控告申诉，开展控告申诉检察工作。</w:t>
      </w:r>
    </w:p>
    <w:p w14:paraId="6A54B8C2">
      <w:pPr>
        <w:spacing w:line="580" w:lineRule="exact"/>
        <w:ind w:firstLine="640"/>
        <w:jc w:val="both"/>
      </w:pPr>
      <w:r>
        <w:rPr>
          <w:rFonts w:ascii="仿宋_GB2312" w:hAnsi="仿宋_GB2312" w:eastAsia="仿宋_GB2312"/>
          <w:sz w:val="32"/>
        </w:rPr>
        <w:t>（十）开展检察应用和理论研究工作。</w:t>
      </w:r>
    </w:p>
    <w:p w14:paraId="3F3EAD7E">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3B013F78">
      <w:pPr>
        <w:spacing w:line="580" w:lineRule="exact"/>
        <w:ind w:firstLine="640"/>
        <w:jc w:val="both"/>
      </w:pPr>
      <w:r>
        <w:rPr>
          <w:rFonts w:ascii="仿宋_GB2312" w:hAnsi="仿宋_GB2312" w:eastAsia="仿宋_GB2312"/>
          <w:sz w:val="32"/>
        </w:rPr>
        <w:t>（十二）开展本院检务督察工作。</w:t>
      </w:r>
    </w:p>
    <w:p w14:paraId="54BC1E79">
      <w:pPr>
        <w:spacing w:line="580" w:lineRule="exact"/>
        <w:ind w:firstLine="640"/>
        <w:jc w:val="both"/>
      </w:pPr>
      <w:r>
        <w:rPr>
          <w:rFonts w:ascii="仿宋_GB2312" w:hAnsi="仿宋_GB2312" w:eastAsia="仿宋_GB2312"/>
          <w:sz w:val="32"/>
        </w:rPr>
        <w:t>（十三）开展检察机关的财务装备工作，检察技术信息工作。</w:t>
      </w:r>
    </w:p>
    <w:p w14:paraId="062B7EF0">
      <w:pPr>
        <w:spacing w:line="580" w:lineRule="exact"/>
        <w:ind w:firstLine="640"/>
        <w:jc w:val="both"/>
      </w:pPr>
      <w:r>
        <w:rPr>
          <w:rFonts w:ascii="仿宋_GB2312" w:hAnsi="仿宋_GB2312" w:eastAsia="仿宋_GB2312"/>
          <w:sz w:val="32"/>
        </w:rPr>
        <w:t>（十四）负责其他应当由玛纳斯县人民检察院承办的事项。</w:t>
      </w:r>
    </w:p>
    <w:p w14:paraId="3DC38A68">
      <w:pPr>
        <w:spacing w:line="640" w:lineRule="exact"/>
        <w:ind w:firstLine="640"/>
        <w:jc w:val="both"/>
        <w:outlineLvl w:val="2"/>
      </w:pPr>
      <w:r>
        <w:rPr>
          <w:rFonts w:ascii="黑体" w:hAnsi="黑体" w:eastAsia="黑体"/>
          <w:sz w:val="32"/>
        </w:rPr>
        <w:t>二、机构设置及人员情况</w:t>
      </w:r>
    </w:p>
    <w:p w14:paraId="005ECA77">
      <w:pPr>
        <w:spacing w:line="580" w:lineRule="exact"/>
        <w:ind w:firstLine="640"/>
        <w:jc w:val="both"/>
      </w:pPr>
      <w:r>
        <w:rPr>
          <w:rFonts w:ascii="仿宋_GB2312" w:hAnsi="仿宋_GB2312" w:eastAsia="仿宋_GB2312"/>
          <w:sz w:val="32"/>
        </w:rPr>
        <w:t>玛纳斯县人民检察院2024年度，实有人数52人，其中：在职人员31人，减少2人；离休人员0人，增加0人；退休人员21人,增加2人。</w:t>
      </w:r>
    </w:p>
    <w:p w14:paraId="03249BFB">
      <w:pPr>
        <w:spacing w:line="580" w:lineRule="exact"/>
        <w:ind w:firstLine="640"/>
        <w:jc w:val="both"/>
      </w:pPr>
      <w:r>
        <w:rPr>
          <w:rFonts w:ascii="仿宋_GB2312" w:hAnsi="仿宋_GB2312" w:eastAsia="仿宋_GB2312"/>
          <w:sz w:val="32"/>
        </w:rPr>
        <w:t>玛纳斯县人民检察院无下属预算单位，下设5个科室，分别是：第一检察部、第二检察部、第三检察部、政治部、办公室。</w:t>
      </w:r>
    </w:p>
    <w:p w14:paraId="543DD9D9">
      <w:r>
        <w:br w:type="page"/>
      </w:r>
    </w:p>
    <w:p w14:paraId="731321B4">
      <w:pPr>
        <w:spacing w:line="240" w:lineRule="auto"/>
        <w:jc w:val="center"/>
        <w:outlineLvl w:val="1"/>
      </w:pPr>
      <w:r>
        <w:rPr>
          <w:rFonts w:ascii="黑体" w:hAnsi="黑体" w:eastAsia="黑体"/>
          <w:sz w:val="32"/>
        </w:rPr>
        <w:t>第二部分 部门决算情况说明</w:t>
      </w:r>
    </w:p>
    <w:p w14:paraId="789C6BBA">
      <w:pPr>
        <w:spacing w:line="640" w:lineRule="exact"/>
        <w:ind w:firstLine="640"/>
        <w:jc w:val="both"/>
        <w:outlineLvl w:val="2"/>
      </w:pPr>
      <w:r>
        <w:rPr>
          <w:rFonts w:ascii="黑体" w:hAnsi="黑体" w:eastAsia="黑体"/>
          <w:sz w:val="32"/>
        </w:rPr>
        <w:t>一、收入支出决算总体情况说明</w:t>
      </w:r>
    </w:p>
    <w:p w14:paraId="4F1D6051">
      <w:pPr>
        <w:spacing w:line="580" w:lineRule="exact"/>
        <w:ind w:firstLine="640"/>
        <w:jc w:val="both"/>
      </w:pPr>
      <w:r>
        <w:rPr>
          <w:rFonts w:ascii="仿宋_GB2312" w:hAnsi="仿宋_GB2312" w:eastAsia="仿宋_GB2312"/>
          <w:b/>
          <w:sz w:val="32"/>
        </w:rPr>
        <w:t>2024年度收入总计1,360.73万元，</w:t>
      </w:r>
      <w:r>
        <w:rPr>
          <w:rFonts w:ascii="仿宋_GB2312" w:hAnsi="仿宋_GB2312" w:eastAsia="仿宋_GB2312"/>
          <w:b w:val="0"/>
          <w:sz w:val="32"/>
        </w:rPr>
        <w:t>其中：本年收入合计1,238.44万元，使用非财政拨款结余（含专用结余）0.00万元，年初结转和结余122.29万元。</w:t>
      </w:r>
    </w:p>
    <w:p w14:paraId="4C290E1E">
      <w:pPr>
        <w:spacing w:line="580" w:lineRule="exact"/>
        <w:ind w:firstLine="640"/>
        <w:jc w:val="both"/>
      </w:pPr>
      <w:r>
        <w:rPr>
          <w:rFonts w:ascii="仿宋_GB2312" w:hAnsi="仿宋_GB2312" w:eastAsia="仿宋_GB2312"/>
          <w:b/>
          <w:sz w:val="32"/>
        </w:rPr>
        <w:t>2024年度支出总计1,360.73万元，</w:t>
      </w:r>
      <w:r>
        <w:rPr>
          <w:rFonts w:ascii="仿宋_GB2312" w:hAnsi="仿宋_GB2312" w:eastAsia="仿宋_GB2312"/>
          <w:b w:val="0"/>
          <w:sz w:val="32"/>
        </w:rPr>
        <w:t>其中：本年支出合计1,227.40万元，结余分配0.00万元，年末结转和结余133.33万元。</w:t>
      </w:r>
    </w:p>
    <w:p w14:paraId="731F9AC5">
      <w:pPr>
        <w:spacing w:line="580" w:lineRule="exact"/>
        <w:ind w:firstLine="640"/>
        <w:jc w:val="both"/>
      </w:pPr>
      <w:r>
        <w:rPr>
          <w:rFonts w:ascii="仿宋_GB2312" w:hAnsi="仿宋_GB2312" w:eastAsia="仿宋_GB2312"/>
          <w:b w:val="0"/>
          <w:sz w:val="32"/>
        </w:rPr>
        <w:t>收入支出总体与上年相比，减少25.44万元，下降1.84%，主要原因是：本年减少州财政保障我院未检工作室项目资金、档案数字化项目资金和业务费补助项目，减少援疆补助经费。</w:t>
      </w:r>
    </w:p>
    <w:p w14:paraId="3F5643A0">
      <w:pPr>
        <w:spacing w:line="640" w:lineRule="exact"/>
        <w:ind w:firstLine="640"/>
        <w:jc w:val="both"/>
        <w:outlineLvl w:val="2"/>
      </w:pPr>
      <w:r>
        <w:rPr>
          <w:rFonts w:ascii="黑体" w:hAnsi="黑体" w:eastAsia="黑体"/>
          <w:sz w:val="32"/>
        </w:rPr>
        <w:t>二、收入决算情况说明</w:t>
      </w:r>
    </w:p>
    <w:p w14:paraId="4660DF8C">
      <w:pPr>
        <w:spacing w:line="580" w:lineRule="exact"/>
        <w:ind w:firstLine="640"/>
        <w:jc w:val="both"/>
      </w:pPr>
      <w:r>
        <w:rPr>
          <w:rFonts w:ascii="仿宋_GB2312" w:hAnsi="仿宋_GB2312" w:eastAsia="仿宋_GB2312"/>
          <w:b/>
          <w:sz w:val="32"/>
        </w:rPr>
        <w:t>本年收入1,238.44万元，</w:t>
      </w:r>
      <w:r>
        <w:rPr>
          <w:rFonts w:ascii="仿宋_GB2312" w:hAnsi="仿宋_GB2312" w:eastAsia="仿宋_GB2312"/>
          <w:b w:val="0"/>
          <w:sz w:val="32"/>
        </w:rPr>
        <w:t>其中：财政拨款收入1,163.14万元，占93.92%；上级补助收入0.00万元，占0.00%；事业收入0.00万元，占0.00%；经营收入0.00万元，占0.00%；附属单位上缴收入0.00万元，占0.00%；其他收入75.31万元，占6.08%。</w:t>
      </w:r>
    </w:p>
    <w:p w14:paraId="6044A662">
      <w:pPr>
        <w:spacing w:line="640" w:lineRule="exact"/>
        <w:ind w:firstLine="640"/>
        <w:jc w:val="both"/>
        <w:outlineLvl w:val="2"/>
      </w:pPr>
      <w:r>
        <w:rPr>
          <w:rFonts w:ascii="黑体" w:hAnsi="黑体" w:eastAsia="黑体"/>
          <w:sz w:val="32"/>
        </w:rPr>
        <w:t>三、支出决算情况说明</w:t>
      </w:r>
    </w:p>
    <w:p w14:paraId="461F975D">
      <w:pPr>
        <w:spacing w:line="580" w:lineRule="exact"/>
        <w:ind w:firstLine="640"/>
        <w:jc w:val="both"/>
      </w:pPr>
      <w:r>
        <w:rPr>
          <w:rFonts w:ascii="仿宋_GB2312" w:hAnsi="仿宋_GB2312" w:eastAsia="仿宋_GB2312"/>
          <w:b/>
          <w:sz w:val="32"/>
        </w:rPr>
        <w:t>本年支出1,227.40万元，</w:t>
      </w:r>
      <w:r>
        <w:rPr>
          <w:rFonts w:ascii="仿宋_GB2312" w:hAnsi="仿宋_GB2312" w:eastAsia="仿宋_GB2312"/>
          <w:b w:val="0"/>
          <w:sz w:val="32"/>
        </w:rPr>
        <w:t>其中：基本支出866.84万元，占70.62%；项目支出360.55万元，占29.38%；上缴上级支出0.00万元，占0.00%；经营支出0.00万元，占0.00%；对附属单位补助支出0.00万元，占0.00%。</w:t>
      </w:r>
    </w:p>
    <w:p w14:paraId="03074DDB">
      <w:pPr>
        <w:spacing w:line="640" w:lineRule="exact"/>
        <w:ind w:firstLine="640"/>
        <w:jc w:val="both"/>
        <w:outlineLvl w:val="2"/>
      </w:pPr>
      <w:r>
        <w:rPr>
          <w:rFonts w:ascii="黑体" w:hAnsi="黑体" w:eastAsia="黑体"/>
          <w:sz w:val="32"/>
        </w:rPr>
        <w:t>四、财政拨款收入支出决算总体情况说明</w:t>
      </w:r>
    </w:p>
    <w:p w14:paraId="0A9E0397">
      <w:pPr>
        <w:spacing w:line="580" w:lineRule="exact"/>
        <w:ind w:firstLine="640"/>
        <w:jc w:val="both"/>
      </w:pPr>
      <w:r>
        <w:rPr>
          <w:rFonts w:ascii="仿宋_GB2312" w:hAnsi="仿宋_GB2312" w:eastAsia="仿宋_GB2312"/>
          <w:b/>
          <w:sz w:val="32"/>
        </w:rPr>
        <w:t>2024年度财政拨款收入总计1,163.14万元，</w:t>
      </w:r>
      <w:r>
        <w:rPr>
          <w:rFonts w:ascii="仿宋_GB2312" w:hAnsi="仿宋_GB2312" w:eastAsia="仿宋_GB2312"/>
          <w:b w:val="0"/>
          <w:sz w:val="32"/>
        </w:rPr>
        <w:t>其中：年初财政拨款结转和结余0.00万元，本年财政拨款收入1,163.14万元。</w:t>
      </w:r>
      <w:r>
        <w:rPr>
          <w:rFonts w:ascii="仿宋_GB2312" w:hAnsi="仿宋_GB2312" w:eastAsia="仿宋_GB2312"/>
          <w:b/>
          <w:sz w:val="32"/>
        </w:rPr>
        <w:t>财政拨款支出总计1,163.14万元，</w:t>
      </w:r>
      <w:r>
        <w:rPr>
          <w:rFonts w:ascii="仿宋_GB2312" w:hAnsi="仿宋_GB2312" w:eastAsia="仿宋_GB2312"/>
          <w:b w:val="0"/>
          <w:sz w:val="32"/>
        </w:rPr>
        <w:t>其中：年末财政拨款结转和结余0.00万元，本年财政拨款支出1,163.14万元。</w:t>
      </w:r>
    </w:p>
    <w:p w14:paraId="5752292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减少12.28万元，下降1.04%，主要原因是：本年减少州财政保障我院未检工作室项目资金、档案数字化项目资金和业务费补助项目。</w:t>
      </w:r>
      <w:r>
        <w:rPr>
          <w:rFonts w:ascii="仿宋_GB2312" w:hAnsi="仿宋_GB2312" w:eastAsia="仿宋_GB2312"/>
          <w:b/>
          <w:sz w:val="32"/>
        </w:rPr>
        <w:t>与年初预算相比，</w:t>
      </w:r>
      <w:r>
        <w:rPr>
          <w:rFonts w:ascii="仿宋_GB2312" w:hAnsi="仿宋_GB2312" w:eastAsia="仿宋_GB2312"/>
          <w:b w:val="0"/>
          <w:sz w:val="32"/>
        </w:rPr>
        <w:t>年初预算数1,019.55万元，决算数1,163.14万元，预决算差异率14.08%，主要原因是：年中追加2024年中央政法转移资金项目经费，导致预决算存在差异。</w:t>
      </w:r>
    </w:p>
    <w:p w14:paraId="2F0E364C">
      <w:pPr>
        <w:spacing w:line="640" w:lineRule="exact"/>
        <w:ind w:firstLine="640"/>
        <w:jc w:val="both"/>
        <w:outlineLvl w:val="2"/>
      </w:pPr>
      <w:r>
        <w:rPr>
          <w:rFonts w:ascii="黑体" w:hAnsi="黑体" w:eastAsia="黑体"/>
          <w:sz w:val="32"/>
        </w:rPr>
        <w:t>五、一般公共预算财政拨款支出决算情况说明</w:t>
      </w:r>
    </w:p>
    <w:p w14:paraId="65085920">
      <w:pPr>
        <w:spacing w:line="640" w:lineRule="exact"/>
        <w:ind w:firstLine="640"/>
        <w:jc w:val="both"/>
        <w:outlineLvl w:val="3"/>
      </w:pPr>
      <w:r>
        <w:rPr>
          <w:rFonts w:ascii="楷体_GB2312" w:hAnsi="楷体_GB2312" w:eastAsia="楷体_GB2312"/>
          <w:b/>
          <w:sz w:val="32"/>
        </w:rPr>
        <w:t>（一）一般公共预算财政拨款支出决算总体情况</w:t>
      </w:r>
    </w:p>
    <w:p w14:paraId="7A9D5486">
      <w:pPr>
        <w:spacing w:line="580" w:lineRule="exact"/>
        <w:ind w:firstLine="640"/>
        <w:jc w:val="both"/>
      </w:pPr>
      <w:r>
        <w:rPr>
          <w:rFonts w:ascii="仿宋_GB2312" w:hAnsi="仿宋_GB2312" w:eastAsia="仿宋_GB2312"/>
          <w:b/>
          <w:sz w:val="32"/>
        </w:rPr>
        <w:t>2024年度一般公共预算财政拨款支出1,163.14万元，</w:t>
      </w:r>
      <w:r>
        <w:rPr>
          <w:rFonts w:ascii="仿宋_GB2312" w:hAnsi="仿宋_GB2312" w:eastAsia="仿宋_GB2312"/>
          <w:b w:val="0"/>
          <w:sz w:val="32"/>
        </w:rPr>
        <w:t>占本年支出合计的94.76%。</w:t>
      </w:r>
      <w:r>
        <w:rPr>
          <w:rFonts w:ascii="仿宋_GB2312" w:hAnsi="仿宋_GB2312" w:eastAsia="仿宋_GB2312"/>
          <w:b/>
          <w:sz w:val="32"/>
        </w:rPr>
        <w:t>与上年相比，</w:t>
      </w:r>
      <w:r>
        <w:rPr>
          <w:rFonts w:ascii="仿宋_GB2312" w:hAnsi="仿宋_GB2312" w:eastAsia="仿宋_GB2312"/>
          <w:b w:val="0"/>
          <w:sz w:val="32"/>
        </w:rPr>
        <w:t>减少12.28万元，下降1.04%，主要原因是：本年减少州财政保障我院未检工作室项目资金、档案数字化项目资金和业务费补助项目。</w:t>
      </w:r>
      <w:r>
        <w:rPr>
          <w:rFonts w:ascii="仿宋_GB2312" w:hAnsi="仿宋_GB2312" w:eastAsia="仿宋_GB2312"/>
          <w:b/>
          <w:sz w:val="32"/>
        </w:rPr>
        <w:t>与年初预算相比,</w:t>
      </w:r>
      <w:r>
        <w:rPr>
          <w:rFonts w:ascii="仿宋_GB2312" w:hAnsi="仿宋_GB2312" w:eastAsia="仿宋_GB2312"/>
          <w:b w:val="0"/>
          <w:sz w:val="32"/>
        </w:rPr>
        <w:t>年初预算数1,019.55万元，决算数1,163.14万元，预决算差异率14.08%，主要原因是：年中追加2024年中央转移支付资金项目经费，导致预决算存在差异。</w:t>
      </w:r>
    </w:p>
    <w:p w14:paraId="7D16E7B9">
      <w:pPr>
        <w:spacing w:line="640" w:lineRule="exact"/>
        <w:ind w:firstLine="640"/>
        <w:jc w:val="both"/>
        <w:outlineLvl w:val="3"/>
      </w:pPr>
      <w:r>
        <w:rPr>
          <w:rFonts w:ascii="楷体_GB2312" w:hAnsi="楷体_GB2312" w:eastAsia="楷体_GB2312"/>
          <w:b/>
          <w:sz w:val="32"/>
        </w:rPr>
        <w:t>（二）一般公共预算财政拨款支出决算结构情况</w:t>
      </w:r>
    </w:p>
    <w:p w14:paraId="15AD69AC">
      <w:pPr>
        <w:spacing w:line="580" w:lineRule="exact"/>
        <w:ind w:firstLine="640"/>
        <w:jc w:val="both"/>
      </w:pPr>
      <w:r>
        <w:rPr>
          <w:rFonts w:ascii="仿宋_GB2312" w:hAnsi="仿宋_GB2312" w:eastAsia="仿宋_GB2312"/>
          <w:b w:val="0"/>
          <w:sz w:val="32"/>
        </w:rPr>
        <w:t>1.公共安全支出(类)967.43万元,占83.17%。</w:t>
      </w:r>
    </w:p>
    <w:p w14:paraId="0DE90817">
      <w:pPr>
        <w:spacing w:line="580" w:lineRule="exact"/>
        <w:ind w:firstLine="640"/>
        <w:jc w:val="both"/>
      </w:pPr>
      <w:r>
        <w:rPr>
          <w:rFonts w:ascii="仿宋_GB2312" w:hAnsi="仿宋_GB2312" w:eastAsia="仿宋_GB2312"/>
          <w:b w:val="0"/>
          <w:sz w:val="32"/>
        </w:rPr>
        <w:t>2.社会保障和就业支出(类)104.87万元,占9.02%。</w:t>
      </w:r>
    </w:p>
    <w:p w14:paraId="3723E80C">
      <w:pPr>
        <w:spacing w:line="580" w:lineRule="exact"/>
        <w:ind w:firstLine="640"/>
        <w:jc w:val="both"/>
      </w:pPr>
      <w:r>
        <w:rPr>
          <w:rFonts w:ascii="仿宋_GB2312" w:hAnsi="仿宋_GB2312" w:eastAsia="仿宋_GB2312"/>
          <w:b w:val="0"/>
          <w:sz w:val="32"/>
        </w:rPr>
        <w:t>3.卫生健康支出(类)32.39万元,占2.78%。</w:t>
      </w:r>
    </w:p>
    <w:p w14:paraId="61A36A44">
      <w:pPr>
        <w:spacing w:line="580" w:lineRule="exact"/>
        <w:ind w:firstLine="640"/>
        <w:jc w:val="both"/>
      </w:pPr>
      <w:r>
        <w:rPr>
          <w:rFonts w:ascii="仿宋_GB2312" w:hAnsi="仿宋_GB2312" w:eastAsia="仿宋_GB2312"/>
          <w:b w:val="0"/>
          <w:sz w:val="32"/>
        </w:rPr>
        <w:t>4.住房保障支出(类)48.52万元,占4.17%。</w:t>
      </w:r>
    </w:p>
    <w:p w14:paraId="0880917E">
      <w:pPr>
        <w:spacing w:line="580" w:lineRule="exact"/>
        <w:ind w:firstLine="640"/>
        <w:jc w:val="both"/>
      </w:pPr>
      <w:r>
        <w:rPr>
          <w:rFonts w:ascii="仿宋_GB2312" w:hAnsi="仿宋_GB2312" w:eastAsia="仿宋_GB2312"/>
          <w:b w:val="0"/>
          <w:sz w:val="32"/>
        </w:rPr>
        <w:t>5.其他支出(类)9.93万元,占0.85%。</w:t>
      </w:r>
    </w:p>
    <w:p w14:paraId="36043E2B">
      <w:pPr>
        <w:spacing w:line="640" w:lineRule="exact"/>
        <w:ind w:firstLine="640"/>
        <w:jc w:val="both"/>
        <w:outlineLvl w:val="3"/>
      </w:pPr>
      <w:r>
        <w:rPr>
          <w:rFonts w:ascii="楷体_GB2312" w:hAnsi="楷体_GB2312" w:eastAsia="楷体_GB2312"/>
          <w:b/>
          <w:sz w:val="32"/>
        </w:rPr>
        <w:t>（三）一般公共预算财政拨款支出决算具体情况</w:t>
      </w:r>
    </w:p>
    <w:p w14:paraId="23796B8D">
      <w:pPr>
        <w:spacing w:line="580" w:lineRule="exact"/>
        <w:ind w:firstLine="640"/>
        <w:jc w:val="both"/>
      </w:pPr>
      <w:r>
        <w:rPr>
          <w:rFonts w:ascii="仿宋_GB2312" w:hAnsi="仿宋_GB2312" w:eastAsia="仿宋_GB2312"/>
          <w:b w:val="0"/>
          <w:sz w:val="32"/>
        </w:rPr>
        <w:t>1.公共安全支出(类)检察(款)行政运行(项):支出决算数为677.43万元，比上年决算增加9.23万元，增长1.38%,主要原因是：本年在职人员工资调增，导致相关人员经费较上年有所增加。</w:t>
      </w:r>
    </w:p>
    <w:p w14:paraId="2010485D">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123.93万元，下降100.00%,主要原因是：本年减少州财政保障我院未检工作室项目资金、档案数字化项目资金和业务费补助项目。</w:t>
      </w:r>
    </w:p>
    <w:p w14:paraId="70FA6191">
      <w:pPr>
        <w:spacing w:line="580" w:lineRule="exact"/>
        <w:ind w:firstLine="640"/>
        <w:jc w:val="both"/>
      </w:pPr>
      <w:r>
        <w:rPr>
          <w:rFonts w:ascii="仿宋_GB2312" w:hAnsi="仿宋_GB2312" w:eastAsia="仿宋_GB2312"/>
          <w:b w:val="0"/>
          <w:sz w:val="32"/>
        </w:rPr>
        <w:t>3.公共安全支出(类)检察(款)其他检察支出(项):支出决算数为290.00万元，比上年决算增加105.00万元，增长56.76%,主要原因是：本年增加中央转移支付资金。</w:t>
      </w:r>
    </w:p>
    <w:p w14:paraId="0E034DC5">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4.社会保障和就业支出(类)行政事业单位养老支出(款)行政单位离退休(项):支出决算数为12.27万元，比上年决算增加4.28万元，增长53.57%,主要原因是：本年退休人员增加，发放退休人员基础绩效，退休费支出增加。</w:t>
      </w:r>
    </w:p>
    <w:p w14:paraId="282DF0B8">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60.39万元，比上年决算减少26.99万元，下降30.89%,主要原因是：本年科目调整，部分职业年金缴费上年在机关事业单位基本养老保险缴费支出科目列支，本年调整至机关事业单位职业年金缴费支出科目列支，导致经费减少。</w:t>
      </w:r>
    </w:p>
    <w:p w14:paraId="66DB13F1">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32.21万元，比上年决算增加31.95万元，增长12,288.46%,主要原因是：本年新增退休人员，职业年金缴费支出增加；科目调整，部分职业年金缴费上年在机关事业单位基本养老保险缴费支出科目列支，本年调整至机关事业单位职业年金缴费支出科目列支，导致经费增加。</w:t>
      </w:r>
    </w:p>
    <w:p w14:paraId="16C0928E">
      <w:pPr>
        <w:spacing w:line="580" w:lineRule="exact"/>
        <w:ind w:firstLine="640"/>
        <w:jc w:val="both"/>
      </w:pPr>
      <w:r>
        <w:rPr>
          <w:rFonts w:ascii="仿宋_GB2312" w:hAnsi="仿宋_GB2312" w:eastAsia="仿宋_GB2312"/>
          <w:b w:val="0"/>
          <w:sz w:val="32"/>
        </w:rPr>
        <w:t>7.卫生健康支出(类)行政事业单位医疗(款)行政单位医疗(项):支出决算数为30.19万元，比上年决算增加0.98万元，增长3.36%,主要原因是：本年在职人员工资基数调增，医疗缴费基数上涨，相应支出增加。</w:t>
      </w:r>
    </w:p>
    <w:p w14:paraId="6F144DEB">
      <w:pPr>
        <w:spacing w:line="580" w:lineRule="exact"/>
        <w:ind w:firstLine="640"/>
        <w:jc w:val="both"/>
      </w:pPr>
      <w:r>
        <w:rPr>
          <w:rFonts w:ascii="仿宋_GB2312" w:hAnsi="仿宋_GB2312" w:eastAsia="仿宋_GB2312"/>
          <w:b w:val="0"/>
          <w:sz w:val="32"/>
        </w:rPr>
        <w:t>8.卫生健康支出(类)行政事业单位医疗(款)公务员医疗补助(项):支出决算数为1.89万元，比上年决算增加0.06万元，增长3.28%,主要原因是：本年在职人员工资基数调增，医疗缴费基数上涨，相应支出增加。</w:t>
      </w:r>
    </w:p>
    <w:p w14:paraId="0721616C">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9.卫生健康支出(类)行政事业单位医疗(款)其他行政事业单位医疗支出(项):支出决算数为0.31万元，比上年决算增加0.00万元，增长0.00%,主要原因是：本年其他行政事业单位医疗支出与上年一致，无差异。</w:t>
      </w:r>
    </w:p>
    <w:p w14:paraId="3CD197BB">
      <w:pPr>
        <w:spacing w:line="580" w:lineRule="exact"/>
        <w:ind w:firstLine="640"/>
        <w:jc w:val="both"/>
      </w:pPr>
      <w:r>
        <w:rPr>
          <w:rFonts w:ascii="仿宋_GB2312" w:hAnsi="仿宋_GB2312" w:eastAsia="仿宋_GB2312"/>
          <w:b w:val="0"/>
          <w:sz w:val="32"/>
        </w:rPr>
        <w:t>10.住房保障支出(类)住房改革支出(款)住房公积金(项):支出决算数为48.52万元，比上年决算减少5.27万元，下降9.80%,主要原因是：本年在职人员减少，住房公积金缴费支出减少。</w:t>
      </w:r>
    </w:p>
    <w:p w14:paraId="0FE41C97">
      <w:pPr>
        <w:spacing w:line="580" w:lineRule="exact"/>
        <w:ind w:firstLine="640"/>
        <w:jc w:val="both"/>
      </w:pPr>
      <w:r>
        <w:rPr>
          <w:rFonts w:ascii="仿宋_GB2312" w:hAnsi="仿宋_GB2312" w:eastAsia="仿宋_GB2312"/>
          <w:b w:val="0"/>
          <w:sz w:val="32"/>
        </w:rPr>
        <w:t>11.其他支出(类)其他支出(款)其他支出(项):支出决算数为9.93万元，比上年决算减少7.59万元，下降43.32%,主要原因是：本年工作队减少，为民办实事经费减少。</w:t>
      </w:r>
    </w:p>
    <w:p w14:paraId="3EA26D84">
      <w:pPr>
        <w:spacing w:line="640" w:lineRule="exact"/>
        <w:ind w:firstLine="640"/>
        <w:jc w:val="both"/>
        <w:outlineLvl w:val="2"/>
      </w:pPr>
      <w:r>
        <w:rPr>
          <w:rFonts w:ascii="黑体" w:hAnsi="黑体" w:eastAsia="黑体"/>
          <w:sz w:val="32"/>
        </w:rPr>
        <w:t>六、一般公共预算财政拨款基本支出决算情况说明</w:t>
      </w:r>
    </w:p>
    <w:p w14:paraId="4C2338CE">
      <w:pPr>
        <w:spacing w:line="580" w:lineRule="exact"/>
        <w:ind w:firstLine="640"/>
        <w:jc w:val="both"/>
      </w:pPr>
      <w:r>
        <w:rPr>
          <w:rFonts w:ascii="仿宋_GB2312" w:hAnsi="仿宋_GB2312" w:eastAsia="仿宋_GB2312"/>
          <w:b w:val="0"/>
          <w:sz w:val="32"/>
        </w:rPr>
        <w:t>2024年度一般公共预算财政拨款基本支出866.84万元，其中：</w:t>
      </w:r>
      <w:r>
        <w:rPr>
          <w:rFonts w:ascii="仿宋_GB2312" w:hAnsi="仿宋_GB2312" w:eastAsia="仿宋_GB2312"/>
          <w:b/>
          <w:sz w:val="32"/>
        </w:rPr>
        <w:t>人员经费774.85万元，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1113DD4F">
      <w:pPr>
        <w:spacing w:line="580" w:lineRule="exact"/>
        <w:ind w:firstLine="640"/>
        <w:jc w:val="both"/>
      </w:pPr>
      <w:r>
        <w:rPr>
          <w:rFonts w:ascii="仿宋_GB2312" w:hAnsi="仿宋_GB2312" w:eastAsia="仿宋_GB2312"/>
          <w:b/>
          <w:sz w:val="32"/>
        </w:rPr>
        <w:t>公用经费92.00万元，</w:t>
      </w:r>
      <w:r>
        <w:rPr>
          <w:rFonts w:ascii="仿宋_GB2312" w:hAnsi="仿宋_GB2312" w:eastAsia="仿宋_GB2312"/>
          <w:b w:val="0"/>
          <w:sz w:val="32"/>
        </w:rPr>
        <w:t>包括：办公费、手续费、水费、电费、取暖费、物业管理费、租赁费、公务接待费、劳务费、工会经费、福利费、公务用车运行维护费、其他商品和服务支出。</w:t>
      </w:r>
    </w:p>
    <w:p w14:paraId="3815D38D">
      <w:pPr>
        <w:spacing w:line="640" w:lineRule="exact"/>
        <w:ind w:firstLine="640"/>
        <w:jc w:val="both"/>
        <w:outlineLvl w:val="2"/>
      </w:pPr>
      <w:r>
        <w:rPr>
          <w:rFonts w:ascii="黑体" w:hAnsi="黑体" w:eastAsia="黑体"/>
          <w:sz w:val="32"/>
        </w:rPr>
        <w:t>七、政府性基金预算财政拨款收入支出决算情况说明</w:t>
      </w:r>
    </w:p>
    <w:p w14:paraId="63E77D2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8F3EE2B">
      <w:pPr>
        <w:spacing w:line="640" w:lineRule="exact"/>
        <w:ind w:firstLine="640"/>
        <w:jc w:val="both"/>
        <w:outlineLvl w:val="2"/>
      </w:pPr>
      <w:r>
        <w:rPr>
          <w:rFonts w:ascii="黑体" w:hAnsi="黑体" w:eastAsia="黑体"/>
          <w:sz w:val="32"/>
        </w:rPr>
        <w:t>八、国有资本经营预算财政拨款收入支出决算情况说明</w:t>
      </w:r>
    </w:p>
    <w:p w14:paraId="2F3C0C3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A8D2A46">
      <w:pPr>
        <w:spacing w:line="640" w:lineRule="exact"/>
        <w:ind w:firstLine="640"/>
        <w:jc w:val="both"/>
        <w:outlineLvl w:val="2"/>
      </w:pPr>
      <w:r>
        <w:rPr>
          <w:rFonts w:ascii="黑体" w:hAnsi="黑体" w:eastAsia="黑体"/>
          <w:sz w:val="32"/>
        </w:rPr>
        <w:t>九、财政拨款“三公”经费支出决算情况说明</w:t>
      </w:r>
    </w:p>
    <w:p w14:paraId="0C323435">
      <w:pPr>
        <w:spacing w:line="580" w:lineRule="exact"/>
        <w:ind w:firstLine="640"/>
        <w:jc w:val="both"/>
      </w:pPr>
      <w:r>
        <w:rPr>
          <w:rFonts w:ascii="仿宋_GB2312" w:hAnsi="仿宋_GB2312" w:eastAsia="仿宋_GB2312"/>
          <w:b/>
          <w:sz w:val="32"/>
        </w:rPr>
        <w:t>2024年度财政拨款“三公”经费支出21.68万元，</w:t>
      </w:r>
      <w:r>
        <w:rPr>
          <w:rFonts w:ascii="仿宋_GB2312" w:hAnsi="仿宋_GB2312" w:eastAsia="仿宋_GB2312"/>
          <w:b w:val="0"/>
          <w:sz w:val="32"/>
        </w:rPr>
        <w:t>比上年增加0.05万元，增长0.23%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21.00万元，占96.86%，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公务用车运行维护费与上年一致无变化。公务接待费支出0.68万元，占3.14%，比上年增加0.05万元，增长7.94%，主要原因是：本年因业务需求，增加公务接待工作，导致公务接待费较上年增加。</w:t>
      </w:r>
    </w:p>
    <w:p w14:paraId="20338FE6">
      <w:pPr>
        <w:spacing w:line="580" w:lineRule="exact"/>
        <w:ind w:firstLine="640"/>
        <w:jc w:val="both"/>
      </w:pPr>
      <w:r>
        <w:rPr>
          <w:rFonts w:ascii="仿宋_GB2312" w:hAnsi="仿宋_GB2312" w:eastAsia="仿宋_GB2312"/>
          <w:b/>
          <w:sz w:val="32"/>
        </w:rPr>
        <w:t>具体情况如下：</w:t>
      </w:r>
    </w:p>
    <w:p w14:paraId="2D27097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3E1E73D">
      <w:pPr>
        <w:spacing w:line="580" w:lineRule="exact"/>
        <w:ind w:firstLine="640"/>
        <w:jc w:val="both"/>
      </w:pPr>
      <w:r>
        <w:rPr>
          <w:rFonts w:ascii="仿宋_GB2312" w:hAnsi="仿宋_GB2312" w:eastAsia="仿宋_GB2312"/>
          <w:b w:val="0"/>
          <w:sz w:val="32"/>
        </w:rPr>
        <w:t>公务用车购置及运行维护费21.00万元，其中：公务用车购置费0.00万元，公务用车运行维护费21.00万元。公务用车运行维护费开支内容包括车辆燃料费、车辆维修费、车辆保险费、车辆过路费。公务用车购置数0辆，公务用车保有量9辆。国有资产占用情况中固定资产车辆9辆，与公务用车保有量差异原因是：本单位固定资产车辆与公务用车保有量一致无差异。</w:t>
      </w:r>
    </w:p>
    <w:p w14:paraId="0A7713B1">
      <w:pPr>
        <w:spacing w:line="580" w:lineRule="exact"/>
        <w:ind w:firstLine="640"/>
        <w:jc w:val="both"/>
      </w:pPr>
      <w:r>
        <w:rPr>
          <w:rFonts w:ascii="仿宋_GB2312" w:hAnsi="仿宋_GB2312" w:eastAsia="仿宋_GB2312"/>
          <w:b w:val="0"/>
          <w:sz w:val="32"/>
        </w:rPr>
        <w:t>公务接待费0.68万元，开支内容包括本年州院、区院、援疆省市工作人员来我院调研、学习交流时产生的餐费。单位全年安排的国内公务接待11批次，116人次。</w:t>
      </w:r>
    </w:p>
    <w:p w14:paraId="04BCFC2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21.68万元，决算数21.68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21.00万元，决算数21.00万元，预决算差异率0.00%，主要原因是：严格按照预算执行，预决算无差异。公务接待费全年预算数0.68万元，决算数0.68万元，预决算差异率0.00%，主要原因是：严格按照预算执行，预决算无差异。</w:t>
      </w:r>
    </w:p>
    <w:p w14:paraId="2BC55164">
      <w:pPr>
        <w:spacing w:line="640" w:lineRule="exact"/>
        <w:ind w:firstLine="640"/>
        <w:jc w:val="both"/>
        <w:outlineLvl w:val="2"/>
      </w:pPr>
      <w:r>
        <w:rPr>
          <w:rFonts w:ascii="黑体" w:hAnsi="黑体" w:eastAsia="黑体"/>
          <w:sz w:val="32"/>
        </w:rPr>
        <w:t>十、其他重要事项的情况说明</w:t>
      </w:r>
    </w:p>
    <w:p w14:paraId="69789DF3">
      <w:pPr>
        <w:spacing w:line="640" w:lineRule="exact"/>
        <w:ind w:firstLine="640"/>
        <w:jc w:val="both"/>
        <w:outlineLvl w:val="3"/>
      </w:pPr>
      <w:r>
        <w:rPr>
          <w:rFonts w:ascii="楷体_GB2312" w:hAnsi="楷体_GB2312" w:eastAsia="楷体_GB2312"/>
          <w:b/>
          <w:sz w:val="32"/>
        </w:rPr>
        <w:t>（一）机关运行经费及公用经费支出情况</w:t>
      </w:r>
    </w:p>
    <w:p w14:paraId="11189664">
      <w:pPr>
        <w:spacing w:line="580" w:lineRule="exact"/>
        <w:ind w:firstLine="640"/>
        <w:jc w:val="both"/>
      </w:pPr>
      <w:r>
        <w:rPr>
          <w:rFonts w:ascii="仿宋_GB2312" w:hAnsi="仿宋_GB2312" w:eastAsia="仿宋_GB2312"/>
          <w:b w:val="0"/>
          <w:sz w:val="32"/>
        </w:rPr>
        <w:t>2024年度玛纳斯县人民检察院（行政单位和参照公务员法管理事业单位）机关运行经费支出92.00万元，比上年增加14.34万元，增长18.47%，主要原因是：本年更新、维护补充办公用品，导致机关运行经费较上年增加。</w:t>
      </w:r>
    </w:p>
    <w:p w14:paraId="045549CD">
      <w:pPr>
        <w:spacing w:line="640" w:lineRule="exact"/>
        <w:ind w:firstLine="640"/>
        <w:jc w:val="both"/>
        <w:outlineLvl w:val="3"/>
      </w:pPr>
      <w:r>
        <w:rPr>
          <w:rFonts w:ascii="楷体_GB2312" w:hAnsi="楷体_GB2312" w:eastAsia="楷体_GB2312"/>
          <w:b/>
          <w:sz w:val="32"/>
        </w:rPr>
        <w:t>（二）政府采购情况</w:t>
      </w:r>
    </w:p>
    <w:p w14:paraId="7B5BCFEC">
      <w:pPr>
        <w:spacing w:line="580" w:lineRule="exact"/>
        <w:ind w:firstLine="640"/>
        <w:jc w:val="both"/>
      </w:pPr>
      <w:r>
        <w:rPr>
          <w:rFonts w:ascii="仿宋_GB2312" w:hAnsi="仿宋_GB2312" w:eastAsia="仿宋_GB2312"/>
          <w:b w:val="0"/>
          <w:sz w:val="32"/>
        </w:rPr>
        <w:t>2024年度政府采购支出总额268.32万元，其中：政府采购货物支出63.08万元、政府采购工程支出44.10万元、政府采购服务支出161.14万元。</w:t>
      </w:r>
    </w:p>
    <w:p w14:paraId="6FB9DC68">
      <w:pPr>
        <w:spacing w:line="580" w:lineRule="exact"/>
        <w:ind w:firstLine="640"/>
        <w:jc w:val="both"/>
      </w:pPr>
      <w:r>
        <w:rPr>
          <w:rFonts w:ascii="仿宋_GB2312" w:hAnsi="仿宋_GB2312" w:eastAsia="仿宋_GB2312"/>
          <w:b w:val="0"/>
          <w:sz w:val="32"/>
        </w:rPr>
        <w:t>授予中小企业合同金额268.32万元，占政府采购支出总额的100.00%，其中：授予小微企业合同金额268.32万元，占政府采购支出总额的100.00%。</w:t>
      </w:r>
    </w:p>
    <w:p w14:paraId="1B963415">
      <w:pPr>
        <w:spacing w:line="640" w:lineRule="exact"/>
        <w:ind w:firstLine="640"/>
        <w:jc w:val="both"/>
        <w:outlineLvl w:val="3"/>
      </w:pPr>
      <w:r>
        <w:rPr>
          <w:rFonts w:ascii="楷体_GB2312" w:hAnsi="楷体_GB2312" w:eastAsia="楷体_GB2312"/>
          <w:b/>
          <w:sz w:val="32"/>
        </w:rPr>
        <w:t>（三）国有资产占用情况说明</w:t>
      </w:r>
    </w:p>
    <w:p w14:paraId="18D9DF86">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4,971.75平方米，价值1,162.47万元。车辆9辆，价值183.37万元，其中：副部（省）级及以上领导用车0辆、主要负责人用车0辆、机要通信用车0辆、应急保障用车0辆、执法执勤用车7辆、特种专业技术用车0辆、离退休干部服务用车0辆、其他用车2辆，其他用车主要是：一般公务用车。单价100万元（含）以上设备（不含车辆）0台（套）。</w:t>
      </w:r>
    </w:p>
    <w:p w14:paraId="037416BE">
      <w:pPr>
        <w:spacing w:line="640" w:lineRule="exact"/>
        <w:ind w:firstLine="640"/>
        <w:jc w:val="both"/>
        <w:outlineLvl w:val="2"/>
      </w:pPr>
      <w:r>
        <w:rPr>
          <w:rFonts w:ascii="黑体" w:hAnsi="黑体" w:eastAsia="黑体"/>
          <w:sz w:val="32"/>
        </w:rPr>
        <w:t>十一、预算绩效的情况说明</w:t>
      </w:r>
    </w:p>
    <w:p w14:paraId="1D5E0DD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根据预算绩效管理要求，本单位2024年度预算绩效管理形成整体支出绩效自评表1个，全年预算总额1,360.73万元，实际执行总额1,227.40万元；预算绩效评价项目</w:t>
      </w:r>
      <w:r>
        <w:rPr>
          <w:rFonts w:hint="eastAsia" w:ascii="仿宋_GB2312" w:hAnsi="仿宋_GB2312" w:eastAsia="仿宋_GB2312"/>
          <w:b w:val="0"/>
          <w:sz w:val="32"/>
          <w:lang w:val="en-US" w:eastAsia="zh-CN"/>
        </w:rPr>
        <w:t>3</w:t>
      </w:r>
      <w:r>
        <w:rPr>
          <w:rFonts w:ascii="仿宋_GB2312" w:hAnsi="仿宋_GB2312" w:eastAsia="仿宋_GB2312"/>
          <w:b w:val="0"/>
          <w:sz w:val="32"/>
        </w:rPr>
        <w:t>个，全年预算数</w:t>
      </w:r>
      <w:r>
        <w:rPr>
          <w:rFonts w:hint="eastAsia" w:ascii="仿宋_GB2312" w:hAnsi="仿宋_GB2312" w:eastAsia="仿宋_GB2312"/>
          <w:b w:val="0"/>
          <w:sz w:val="32"/>
        </w:rPr>
        <w:t>355.69</w:t>
      </w:r>
      <w:r>
        <w:rPr>
          <w:rFonts w:ascii="仿宋_GB2312" w:hAnsi="仿宋_GB2312" w:eastAsia="仿宋_GB2312"/>
          <w:b w:val="0"/>
          <w:sz w:val="32"/>
        </w:rPr>
        <w:t>万元，全年执行数</w:t>
      </w:r>
      <w:r>
        <w:rPr>
          <w:rFonts w:hint="eastAsia" w:ascii="仿宋_GB2312" w:hAnsi="仿宋_GB2312" w:eastAsia="仿宋_GB2312"/>
          <w:b w:val="0"/>
          <w:sz w:val="32"/>
        </w:rPr>
        <w:t>355.69</w:t>
      </w:r>
      <w:r>
        <w:rPr>
          <w:rFonts w:ascii="仿宋_GB2312" w:hAnsi="仿宋_GB2312" w:eastAsia="仿宋_GB2312"/>
          <w:b w:val="0"/>
          <w:sz w:val="32"/>
        </w:rPr>
        <w:t>万元。预算绩效管理取得的成效：1.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2.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3.强化绩效目标刚性约束，及时对项目进行跟踪问效加强绩效目标的刚性约束，及时对项目实施进度与资金支付进度进行全程跟踪问效，发现问题及时解决，对于重大问题实行集体讨论，确保项目按计划进行，项目资金支付安排高效、合理，杜绝截留、挤占或挪用项目资金的情况发生。一是领导重视到位：高度重视，主要领导亲自抓，并予以充分的人力、财力保障。责任落实到位：将各</w:t>
      </w:r>
      <w:r>
        <w:rPr>
          <w:rFonts w:hint="eastAsia" w:ascii="仿宋_GB2312" w:hAnsi="仿宋_GB2312" w:eastAsia="仿宋_GB2312"/>
          <w:b w:val="0"/>
          <w:sz w:val="32"/>
          <w:lang w:eastAsia="zh-CN"/>
        </w:rPr>
        <w:t>项</w:t>
      </w:r>
      <w:r>
        <w:rPr>
          <w:rFonts w:ascii="仿宋_GB2312" w:hAnsi="仿宋_GB2312" w:eastAsia="仿宋_GB2312"/>
          <w:b w:val="0"/>
          <w:sz w:val="32"/>
        </w:rPr>
        <w:t>工作落实到具体科室、具体岗位、具体个人。二是合理合规使用经费。根据项目业务流程，参考历年经费使用情况，认真测算各阶段所需经费，确保当前项目实施经费充足。在经费使用方面，严格执行经费使用管理制度，厉行节约，专款专用，对每笔经费使用情况建立监督机制，确保经费使用合理合规。三是健全项目管理制度。</w:t>
      </w:r>
      <w:r>
        <w:rPr>
          <w:rFonts w:hint="eastAsia" w:ascii="仿宋_GB2312" w:hAnsi="仿宋_GB2312" w:eastAsia="仿宋_GB2312"/>
          <w:b w:val="0"/>
          <w:sz w:val="32"/>
          <w:lang w:eastAsia="zh-CN"/>
        </w:rPr>
        <w:t>本单位</w:t>
      </w:r>
      <w:r>
        <w:rPr>
          <w:rFonts w:ascii="仿宋_GB2312" w:hAnsi="仿宋_GB2312" w:eastAsia="仿宋_GB2312"/>
          <w:b w:val="0"/>
          <w:sz w:val="32"/>
        </w:rPr>
        <w:t>已有保证项目实施的制度、措施等，如《中华人民共和国预算法</w:t>
      </w:r>
      <w:r>
        <w:rPr>
          <w:rFonts w:hint="eastAsia" w:ascii="仿宋_GB2312" w:hAnsi="仿宋_GB2312" w:eastAsia="仿宋_GB2312"/>
          <w:b w:val="0"/>
          <w:sz w:val="32"/>
          <w:lang w:eastAsia="zh-CN"/>
        </w:rPr>
        <w:t>》《</w:t>
      </w:r>
      <w:r>
        <w:rPr>
          <w:rFonts w:ascii="仿宋_GB2312" w:hAnsi="仿宋_GB2312" w:eastAsia="仿宋_GB2312"/>
          <w:b w:val="0"/>
          <w:sz w:val="32"/>
        </w:rPr>
        <w:t>预算管理办法》等。发现的问题及原因：1.绩效档案归档工作有待提高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2.项目支出绩效评价存在局限，客观性有待加强项目支出绩效评价工作还存在自我审定的局限性，项目支出绩效工作有较大弹性，评价报告多局限于描述项目实施情况，对问题避重就轻，对项目的打分松紧不一，会影响评价质量，在客观性和公正性上说服力不强。下一步改进措施：1.扎实推进档案规范化建设，提升档案管理水平一是进一步完善项目评价资料。项目启动时同步做好档案的归纳与整理，及时整理、收集、汇总，健全档案资料。二是严格落实自治区关于绩效管理工作档案资料归档的相关要求，强化收集力度，确保归档</w:t>
      </w:r>
      <w:r>
        <w:rPr>
          <w:rFonts w:hint="eastAsia" w:ascii="仿宋_GB2312" w:hAnsi="仿宋_GB2312" w:eastAsia="仿宋_GB2312"/>
          <w:b w:val="0"/>
          <w:sz w:val="32"/>
          <w:lang w:eastAsia="zh-CN"/>
        </w:rPr>
        <w:t>资料</w:t>
      </w:r>
      <w:r>
        <w:rPr>
          <w:rFonts w:ascii="仿宋_GB2312" w:hAnsi="仿宋_GB2312" w:eastAsia="仿宋_GB2312"/>
          <w:b w:val="0"/>
          <w:sz w:val="32"/>
        </w:rPr>
        <w:t>完整齐全。2.高度重视，加强领导高度重视，加强领导，精心组织。项目绩效领导小组对绩效评价工作进行指导、监督、检查，确保项目绩效评价反映项目完成真实情况。严格执行项目绩效评价工作要求，切实提高项目绩效报告的客观性和公正性。具体附整体支出绩效自评表，项目支出绩效自评表和评价报告。</w:t>
      </w:r>
    </w:p>
    <w:p w14:paraId="49996D0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0515EB1">
        <w:tblPrEx>
          <w:tblCellMar>
            <w:top w:w="0" w:type="dxa"/>
            <w:left w:w="108" w:type="dxa"/>
            <w:bottom w:w="0" w:type="dxa"/>
            <w:right w:w="108" w:type="dxa"/>
          </w:tblCellMar>
        </w:tblPrEx>
        <w:tc>
          <w:tcPr>
            <w:tcW w:w="8847" w:type="dxa"/>
            <w:gridSpan w:val="9"/>
            <w:vAlign w:val="center"/>
          </w:tcPr>
          <w:p w14:paraId="14821277">
            <w:pPr>
              <w:jc w:val="center"/>
            </w:pPr>
            <w:r>
              <w:rPr>
                <w:rFonts w:ascii="宋体" w:hAnsi="宋体" w:eastAsia="宋体"/>
                <w:sz w:val="24"/>
              </w:rPr>
              <w:t>单位整体支出绩效自评表</w:t>
            </w:r>
          </w:p>
        </w:tc>
      </w:tr>
      <w:tr w14:paraId="7B62CC18">
        <w:tblPrEx>
          <w:tblCellMar>
            <w:top w:w="0" w:type="dxa"/>
            <w:left w:w="108" w:type="dxa"/>
            <w:bottom w:w="0" w:type="dxa"/>
            <w:right w:w="108" w:type="dxa"/>
          </w:tblCellMar>
        </w:tblPrEx>
        <w:tc>
          <w:tcPr>
            <w:tcW w:w="8847" w:type="dxa"/>
            <w:gridSpan w:val="9"/>
            <w:vAlign w:val="center"/>
          </w:tcPr>
          <w:p w14:paraId="0DD21447">
            <w:pPr>
              <w:jc w:val="center"/>
            </w:pPr>
            <w:r>
              <w:rPr>
                <w:rFonts w:ascii="宋体" w:hAnsi="宋体" w:eastAsia="宋体"/>
                <w:sz w:val="24"/>
              </w:rPr>
              <w:t>（2024年度）</w:t>
            </w:r>
          </w:p>
        </w:tc>
      </w:tr>
      <w:tr w14:paraId="53E9D6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BCFF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6F23E42">
            <w:pPr>
              <w:jc w:val="center"/>
            </w:pPr>
            <w:r>
              <w:rPr>
                <w:rFonts w:ascii="宋体" w:hAnsi="宋体" w:eastAsia="宋体"/>
                <w:sz w:val="16"/>
              </w:rPr>
              <w:t>玛纳斯县人民检察院</w:t>
            </w:r>
          </w:p>
        </w:tc>
      </w:tr>
      <w:tr w14:paraId="1CEEAF1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E6E0B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6C84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8363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FB60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DE470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4F0B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F857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75E32">
            <w:pPr>
              <w:jc w:val="center"/>
            </w:pPr>
            <w:r>
              <w:rPr>
                <w:rFonts w:ascii="宋体" w:hAnsi="宋体" w:eastAsia="宋体"/>
                <w:sz w:val="16"/>
              </w:rPr>
              <w:t>得分</w:t>
            </w:r>
          </w:p>
        </w:tc>
      </w:tr>
      <w:tr w14:paraId="4E2FD9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28BD8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25D0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3AFF85">
            <w:pPr>
              <w:jc w:val="center"/>
            </w:pPr>
            <w:r>
              <w:rPr>
                <w:rFonts w:ascii="宋体" w:hAnsi="宋体" w:eastAsia="宋体"/>
                <w:sz w:val="16"/>
              </w:rPr>
              <w:t>165.00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532B7">
            <w:pPr>
              <w:jc w:val="center"/>
            </w:pPr>
            <w:r>
              <w:rPr>
                <w:rFonts w:ascii="宋体" w:hAnsi="宋体" w:eastAsia="宋体"/>
                <w:sz w:val="16"/>
              </w:rPr>
              <w:t>290.00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038CF">
            <w:pPr>
              <w:jc w:val="center"/>
            </w:pPr>
            <w:r>
              <w:rPr>
                <w:rFonts w:ascii="宋体" w:hAnsi="宋体" w:eastAsia="宋体"/>
                <w:sz w:val="16"/>
              </w:rPr>
              <w:t>290.00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725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1C33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FE4569">
            <w:pPr>
              <w:jc w:val="center"/>
            </w:pPr>
            <w:r>
              <w:rPr>
                <w:rFonts w:ascii="宋体" w:hAnsi="宋体" w:eastAsia="宋体"/>
                <w:sz w:val="16"/>
              </w:rPr>
              <w:t>-</w:t>
            </w:r>
          </w:p>
        </w:tc>
      </w:tr>
      <w:tr w14:paraId="13A701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CCBC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5A7C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0E682">
            <w:pPr>
              <w:jc w:val="center"/>
            </w:pPr>
            <w:r>
              <w:rPr>
                <w:rFonts w:ascii="宋体" w:hAnsi="宋体" w:eastAsia="宋体"/>
                <w:sz w:val="16"/>
              </w:rPr>
              <w:t>854.55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7679E">
            <w:pPr>
              <w:jc w:val="center"/>
            </w:pPr>
            <w:r>
              <w:rPr>
                <w:rFonts w:ascii="宋体" w:hAnsi="宋体" w:eastAsia="宋体"/>
                <w:sz w:val="16"/>
              </w:rPr>
              <w:t>873.14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9EBEE">
            <w:pPr>
              <w:jc w:val="center"/>
            </w:pPr>
            <w:r>
              <w:rPr>
                <w:rFonts w:ascii="宋体" w:hAnsi="宋体" w:eastAsia="宋体"/>
                <w:sz w:val="16"/>
              </w:rPr>
              <w:t>873.14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C0C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E6D5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75BB1">
            <w:pPr>
              <w:jc w:val="center"/>
            </w:pPr>
            <w:r>
              <w:rPr>
                <w:rFonts w:ascii="宋体" w:hAnsi="宋体" w:eastAsia="宋体"/>
                <w:sz w:val="16"/>
              </w:rPr>
              <w:t>-</w:t>
            </w:r>
          </w:p>
        </w:tc>
      </w:tr>
      <w:tr w14:paraId="1A1D32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35F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CCCB6">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396A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B4F4C">
            <w:pPr>
              <w:jc w:val="center"/>
            </w:pPr>
            <w:r>
              <w:rPr>
                <w:rFonts w:ascii="宋体" w:hAnsi="宋体" w:eastAsia="宋体"/>
                <w:sz w:val="16"/>
              </w:rPr>
              <w:t>197.59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9E343D">
            <w:pPr>
              <w:jc w:val="center"/>
            </w:pPr>
            <w:r>
              <w:rPr>
                <w:rFonts w:ascii="宋体" w:hAnsi="宋体" w:eastAsia="宋体"/>
                <w:sz w:val="16"/>
              </w:rPr>
              <w:t>64.26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FDA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E29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168C6">
            <w:pPr>
              <w:jc w:val="center"/>
            </w:pPr>
            <w:r>
              <w:rPr>
                <w:rFonts w:ascii="宋体" w:hAnsi="宋体" w:eastAsia="宋体"/>
                <w:sz w:val="16"/>
              </w:rPr>
              <w:t>-</w:t>
            </w:r>
          </w:p>
        </w:tc>
      </w:tr>
      <w:tr w14:paraId="7B52D0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BF82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0796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30B05">
            <w:pPr>
              <w:jc w:val="center"/>
            </w:pPr>
            <w:r>
              <w:rPr>
                <w:rFonts w:ascii="宋体" w:hAnsi="宋体" w:eastAsia="宋体"/>
                <w:sz w:val="16"/>
              </w:rPr>
              <w:t>1,019.55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95D33">
            <w:pPr>
              <w:jc w:val="center"/>
            </w:pPr>
            <w:r>
              <w:rPr>
                <w:rFonts w:ascii="宋体" w:hAnsi="宋体" w:eastAsia="宋体"/>
                <w:sz w:val="16"/>
              </w:rPr>
              <w:t>1,360.73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F2107">
            <w:pPr>
              <w:jc w:val="center"/>
            </w:pPr>
            <w:r>
              <w:rPr>
                <w:rFonts w:ascii="宋体" w:hAnsi="宋体" w:eastAsia="宋体"/>
                <w:sz w:val="16"/>
              </w:rPr>
              <w:t>1,227.40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91C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B558D">
            <w:pPr>
              <w:jc w:val="center"/>
            </w:pPr>
            <w:r>
              <w:rPr>
                <w:rFonts w:ascii="宋体" w:hAnsi="宋体" w:eastAsia="宋体"/>
                <w:sz w:val="16"/>
              </w:rPr>
              <w:t>90.2%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3A7B6">
            <w:pPr>
              <w:jc w:val="center"/>
            </w:pPr>
            <w:r>
              <w:rPr>
                <w:rFonts w:ascii="宋体" w:hAnsi="宋体" w:eastAsia="宋体"/>
                <w:sz w:val="16"/>
              </w:rPr>
              <w:t>9</w:t>
            </w:r>
          </w:p>
        </w:tc>
      </w:tr>
      <w:tr w14:paraId="1919AB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4758D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6D811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DE0AC8">
            <w:pPr>
              <w:jc w:val="center"/>
            </w:pPr>
            <w:r>
              <w:rPr>
                <w:rFonts w:ascii="宋体" w:hAnsi="宋体" w:eastAsia="宋体"/>
                <w:sz w:val="16"/>
              </w:rPr>
              <w:t>实际完成情况</w:t>
            </w:r>
          </w:p>
        </w:tc>
      </w:tr>
      <w:tr w14:paraId="46D120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657E1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56114E">
            <w:pPr>
              <w:jc w:val="both"/>
            </w:pPr>
            <w:r>
              <w:rPr>
                <w:rFonts w:ascii="宋体" w:hAnsi="宋体" w:eastAsia="宋体"/>
                <w:sz w:val="16"/>
              </w:rPr>
              <w:t>2024年检察工作要围绕坚持以习近平新时代中国特色社会主义思想为指导，深入贯彻党的二十大和二十届二中、三中、四中、五中全会精神，全面贯彻习近平法治思想，坚持党的绝对领导，践行以人民为中心的发展思想，紧紧围绕“五位一体”总体布局和“四个全面”战略布局，更加注重系统观念、法治思维、强基导向，落实“讲政治、顾大局、谋发展、重自强”总体要求，优化“四大检察”“十大业务”法律监督格局，以高质量发展为主题，以完善检察机关法律监督体系、提升法律监督能力为主线，加强基层组织、基础工作、基本能力建设，深化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75D038">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全年预算数为1360.73万元，全年执行数为1227.4万元，总预算执行率为90.20%。2024年</w:t>
            </w:r>
            <w:r>
              <w:rPr>
                <w:rFonts w:hint="eastAsia" w:ascii="宋体" w:hAnsi="宋体"/>
                <w:sz w:val="16"/>
                <w:lang w:eastAsia="zh-CN"/>
              </w:rPr>
              <w:t>本单位</w:t>
            </w:r>
            <w:r>
              <w:rPr>
                <w:rFonts w:ascii="宋体" w:hAnsi="宋体" w:eastAsia="宋体"/>
                <w:sz w:val="16"/>
              </w:rPr>
              <w:t>完成以下工作内容：1.检察机关办案数量指标年初设定目标是大于等于350件；年中绩效运行监控时完成值190件；年终实际完成值是750件，指标完成率是214%，达到检察机关办案数量指标的预期目标。2.检察官进校园授课次数指标年初设定目标是大于等于10次；年中绩效运行监控时完成值8次；年终实际完成值是12次，指标完成率是120%，达到检察官进校园授课数量指标的预期目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开展网络普法次数指标年初设定目标是等于12次；年中绩效运行监控时完成值8次；年终实际完成值是25次，指标完成率是208%，达到开展网络普法指标的预期目标。4.案件办结率指标年初设定目标是大于等于95.00%；年中绩效运行监控时未</w:t>
            </w:r>
            <w:r>
              <w:rPr>
                <w:rFonts w:hint="eastAsia" w:ascii="宋体" w:hAnsi="宋体"/>
                <w:sz w:val="16"/>
                <w:lang w:eastAsia="zh-CN"/>
              </w:rPr>
              <w:t>达到</w:t>
            </w:r>
            <w:r>
              <w:rPr>
                <w:rFonts w:ascii="宋体" w:hAnsi="宋体" w:eastAsia="宋体"/>
                <w:sz w:val="16"/>
              </w:rPr>
              <w:t>监控节点；年终实际完成值是98%，指标完成率是103%，达到案件办结率指标的预期目标。4.群众满意度指标年初设定目标是大于等于95.00%；年中绩效运行监控时未</w:t>
            </w:r>
            <w:r>
              <w:rPr>
                <w:rFonts w:hint="eastAsia" w:ascii="宋体" w:hAnsi="宋体"/>
                <w:sz w:val="16"/>
                <w:lang w:eastAsia="zh-CN"/>
              </w:rPr>
              <w:t>达到</w:t>
            </w:r>
            <w:r>
              <w:rPr>
                <w:rFonts w:ascii="宋体" w:hAnsi="宋体" w:eastAsia="宋体"/>
                <w:sz w:val="16"/>
              </w:rPr>
              <w:t>监控节点；年终实际完成值是96%，指标完成率是101%，达到群众满意率指标的预期目标。通过以上工作的实施，加强了法律监督工作，推动了检察工作高质量发展精神，优化了“四大检察”“十大业务”法律监督格局，以高质量发展为主题，以完善检察机关法律监督体系、提升法律监督能力为主线，加强了基层组织、基础工作、基本能力建设，深化了司法体制改革，更好地服务了经济社会高质量发展、推动了检察工作自身高质量发展，为全面建设社会主义现代化国家提供有力司法保障。</w:t>
            </w:r>
          </w:p>
        </w:tc>
      </w:tr>
      <w:tr w14:paraId="14094F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DA427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BE6A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9E4F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8D13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5833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CF2E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BC76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9F9B7">
            <w:pPr>
              <w:jc w:val="center"/>
            </w:pPr>
            <w:r>
              <w:rPr>
                <w:rFonts w:ascii="宋体" w:hAnsi="宋体" w:eastAsia="宋体"/>
                <w:sz w:val="16"/>
              </w:rPr>
              <w:t>得分</w:t>
            </w:r>
          </w:p>
        </w:tc>
      </w:tr>
      <w:tr w14:paraId="04E0D7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CD75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5428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7B58C">
            <w:pPr>
              <w:jc w:val="center"/>
            </w:pPr>
            <w:r>
              <w:rPr>
                <w:rFonts w:ascii="宋体" w:hAnsi="宋体" w:eastAsia="宋体"/>
                <w:sz w:val="16"/>
              </w:rPr>
              <w:t>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E3922">
            <w:pPr>
              <w:jc w:val="center"/>
            </w:pPr>
            <w:r>
              <w:rPr>
                <w:rFonts w:ascii="宋体" w:hAnsi="宋体" w:eastAsia="宋体"/>
                <w:sz w:val="16"/>
              </w:rPr>
              <w:t>&gt;=350件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07F5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3622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441C3">
            <w:pPr>
              <w:jc w:val="center"/>
            </w:pPr>
            <w:r>
              <w:rPr>
                <w:rFonts w:ascii="宋体" w:hAnsi="宋体" w:eastAsia="宋体"/>
                <w:sz w:val="16"/>
              </w:rPr>
              <w:t>=750件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B23B87">
            <w:pPr>
              <w:jc w:val="center"/>
            </w:pPr>
            <w:r>
              <w:rPr>
                <w:rFonts w:ascii="宋体" w:hAnsi="宋体" w:eastAsia="宋体"/>
                <w:sz w:val="16"/>
              </w:rPr>
              <w:t>20</w:t>
            </w:r>
          </w:p>
        </w:tc>
      </w:tr>
      <w:tr w14:paraId="69A822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E995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8E44E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5E1DB">
            <w:pPr>
              <w:jc w:val="center"/>
            </w:pPr>
            <w:r>
              <w:rPr>
                <w:rFonts w:ascii="宋体" w:hAnsi="宋体" w:eastAsia="宋体"/>
                <w:sz w:val="16"/>
              </w:rPr>
              <w:t>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3A54F">
            <w:pPr>
              <w:jc w:val="center"/>
            </w:pPr>
            <w:r>
              <w:rPr>
                <w:rFonts w:ascii="宋体" w:hAnsi="宋体" w:eastAsia="宋体"/>
                <w:sz w:val="16"/>
              </w:rPr>
              <w:t>&gt;=10次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B767E">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E13F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6CF9C">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620308">
            <w:pPr>
              <w:jc w:val="center"/>
            </w:pPr>
            <w:r>
              <w:rPr>
                <w:rFonts w:ascii="宋体" w:hAnsi="宋体" w:eastAsia="宋体"/>
                <w:sz w:val="16"/>
              </w:rPr>
              <w:t>20</w:t>
            </w:r>
          </w:p>
        </w:tc>
      </w:tr>
      <w:tr w14:paraId="28E3BF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D4F8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A8C8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E9088">
            <w:pPr>
              <w:jc w:val="center"/>
            </w:pPr>
            <w:r>
              <w:rPr>
                <w:rFonts w:ascii="宋体" w:hAnsi="宋体" w:eastAsia="宋体"/>
                <w:sz w:val="16"/>
              </w:rPr>
              <w:t>开展网络普法次数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C65AC">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7FC0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969C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A0578">
            <w:pPr>
              <w:jc w:val="center"/>
            </w:pPr>
            <w:r>
              <w:rPr>
                <w:rFonts w:ascii="宋体" w:hAnsi="宋体" w:eastAsia="宋体"/>
                <w:sz w:val="16"/>
              </w:rPr>
              <w:t>=25次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DAB5B">
            <w:pPr>
              <w:jc w:val="center"/>
            </w:pPr>
            <w:r>
              <w:rPr>
                <w:rFonts w:ascii="宋体" w:hAnsi="宋体" w:eastAsia="宋体"/>
                <w:sz w:val="16"/>
              </w:rPr>
              <w:t>20</w:t>
            </w:r>
          </w:p>
        </w:tc>
      </w:tr>
      <w:tr w14:paraId="4148E7F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5DF8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BDE8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6270A">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6035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88382">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C2C4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A269F">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72F4E">
            <w:pPr>
              <w:jc w:val="center"/>
            </w:pPr>
            <w:r>
              <w:rPr>
                <w:rFonts w:ascii="宋体" w:hAnsi="宋体" w:eastAsia="宋体"/>
                <w:sz w:val="16"/>
              </w:rPr>
              <w:t>20</w:t>
            </w:r>
          </w:p>
        </w:tc>
      </w:tr>
      <w:tr w14:paraId="12FEA72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18E48">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A604B">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AFA1A">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2B1B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7BFB3">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285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3DE4A">
            <w:pPr>
              <w:jc w:val="center"/>
            </w:pPr>
            <w:r>
              <w:rPr>
                <w:rFonts w:ascii="宋体" w:hAnsi="宋体" w:eastAsia="宋体"/>
                <w:sz w:val="16"/>
              </w:rPr>
              <w:t>=96%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711EE">
            <w:pPr>
              <w:jc w:val="center"/>
            </w:pPr>
            <w:r>
              <w:rPr>
                <w:rFonts w:ascii="宋体" w:hAnsi="宋体" w:eastAsia="宋体"/>
                <w:sz w:val="16"/>
              </w:rPr>
              <w:t>10</w:t>
            </w:r>
          </w:p>
        </w:tc>
      </w:tr>
    </w:tbl>
    <w:p w14:paraId="768E58C1">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770E9786">
        <w:tblPrEx>
          <w:tblCellMar>
            <w:top w:w="0" w:type="dxa"/>
            <w:left w:w="108" w:type="dxa"/>
            <w:bottom w:w="0" w:type="dxa"/>
            <w:right w:w="108" w:type="dxa"/>
          </w:tblCellMar>
        </w:tblPrEx>
        <w:tc>
          <w:tcPr>
            <w:tcW w:w="8848" w:type="dxa"/>
            <w:gridSpan w:val="14"/>
            <w:vAlign w:val="center"/>
          </w:tcPr>
          <w:p w14:paraId="4B5A59B5">
            <w:pPr>
              <w:jc w:val="center"/>
            </w:pPr>
            <w:r>
              <w:rPr>
                <w:rFonts w:ascii="宋体" w:hAnsi="宋体" w:eastAsia="宋体"/>
                <w:sz w:val="24"/>
              </w:rPr>
              <w:t>项目支出绩效自评表</w:t>
            </w:r>
          </w:p>
        </w:tc>
      </w:tr>
      <w:tr w14:paraId="453899A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3E2149">
            <w:pPr>
              <w:jc w:val="center"/>
            </w:pPr>
            <w:r>
              <w:rPr>
                <w:rFonts w:ascii="宋体" w:hAnsi="宋体" w:eastAsia="宋体"/>
                <w:sz w:val="24"/>
              </w:rPr>
              <w:t>(2024年度)</w:t>
            </w:r>
          </w:p>
        </w:tc>
      </w:tr>
      <w:tr w14:paraId="25AF01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B3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D62115">
            <w:pPr>
              <w:jc w:val="center"/>
            </w:pPr>
            <w:r>
              <w:rPr>
                <w:rFonts w:ascii="宋体" w:hAnsi="宋体" w:eastAsia="宋体"/>
                <w:sz w:val="16"/>
              </w:rPr>
              <w:t>2024年机关运行补助</w:t>
            </w:r>
          </w:p>
        </w:tc>
      </w:tr>
      <w:tr w14:paraId="49A622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594E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F9F2C2">
            <w:pPr>
              <w:jc w:val="center"/>
            </w:pPr>
            <w:r>
              <w:rPr>
                <w:rFonts w:ascii="宋体" w:hAnsi="宋体" w:eastAsia="宋体"/>
                <w:sz w:val="16"/>
              </w:rPr>
              <w:t>玛纳斯县人民检察院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D51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D543F0">
            <w:pPr>
              <w:jc w:val="center"/>
            </w:pPr>
            <w:r>
              <w:rPr>
                <w:rFonts w:ascii="宋体" w:hAnsi="宋体" w:eastAsia="宋体"/>
                <w:sz w:val="16"/>
              </w:rPr>
              <w:t>玛纳斯县人民检察院</w:t>
            </w:r>
          </w:p>
        </w:tc>
      </w:tr>
      <w:tr w14:paraId="59A742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151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C3FF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5903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4CC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99BB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8D6F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A0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81E5">
            <w:pPr>
              <w:jc w:val="center"/>
            </w:pPr>
            <w:r>
              <w:rPr>
                <w:rFonts w:ascii="宋体" w:hAnsi="宋体" w:eastAsia="宋体"/>
                <w:sz w:val="16"/>
              </w:rPr>
              <w:t>得分</w:t>
            </w:r>
          </w:p>
        </w:tc>
      </w:tr>
      <w:tr w14:paraId="7EC123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E94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615E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13F8F">
            <w:pPr>
              <w:jc w:val="center"/>
            </w:pPr>
            <w:r>
              <w:rPr>
                <w:rFonts w:ascii="宋体" w:hAnsi="宋体" w:eastAsia="宋体"/>
                <w:sz w:val="16"/>
              </w:rPr>
              <w:t>108.53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12501">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4E2CA">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A4A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B11A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9920B">
            <w:pPr>
              <w:jc w:val="center"/>
            </w:pPr>
            <w:r>
              <w:rPr>
                <w:rFonts w:ascii="宋体" w:hAnsi="宋体" w:eastAsia="宋体"/>
                <w:sz w:val="16"/>
              </w:rPr>
              <w:t>10.00</w:t>
            </w:r>
          </w:p>
        </w:tc>
      </w:tr>
      <w:tr w14:paraId="34D007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C1F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B0F4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347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168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DDF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6D8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0E6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63C22">
            <w:pPr>
              <w:jc w:val="center"/>
            </w:pPr>
            <w:r>
              <w:rPr>
                <w:rFonts w:ascii="宋体" w:hAnsi="宋体" w:eastAsia="宋体"/>
                <w:sz w:val="16"/>
              </w:rPr>
              <w:t>—</w:t>
            </w:r>
          </w:p>
        </w:tc>
      </w:tr>
      <w:tr w14:paraId="4C152B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4C2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F13E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42C0F">
            <w:pPr>
              <w:jc w:val="center"/>
            </w:pPr>
            <w:r>
              <w:rPr>
                <w:rFonts w:ascii="宋体" w:hAnsi="宋体" w:eastAsia="宋体"/>
                <w:sz w:val="16"/>
              </w:rPr>
              <w:t>108.53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DCA5F">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B71A5">
            <w:pPr>
              <w:jc w:val="center"/>
            </w:pPr>
            <w:r>
              <w:rPr>
                <w:rFonts w:ascii="宋体" w:hAnsi="宋体" w:eastAsia="宋体"/>
                <w:sz w:val="16"/>
              </w:rPr>
              <w:t>64.40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F25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AC0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6FA2B">
            <w:pPr>
              <w:jc w:val="center"/>
            </w:pPr>
            <w:r>
              <w:rPr>
                <w:rFonts w:ascii="宋体" w:hAnsi="宋体" w:eastAsia="宋体"/>
                <w:sz w:val="16"/>
              </w:rPr>
              <w:t>—</w:t>
            </w:r>
          </w:p>
        </w:tc>
      </w:tr>
      <w:tr w14:paraId="521F20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7EEE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5AE14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257388">
            <w:pPr>
              <w:jc w:val="center"/>
            </w:pPr>
            <w:r>
              <w:rPr>
                <w:rFonts w:ascii="宋体" w:hAnsi="宋体" w:eastAsia="宋体"/>
                <w:sz w:val="16"/>
              </w:rPr>
              <w:t>实际完成情况</w:t>
            </w:r>
          </w:p>
        </w:tc>
      </w:tr>
      <w:tr w14:paraId="40850F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F205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34E1EF">
            <w:pPr>
              <w:jc w:val="both"/>
            </w:pPr>
            <w:r>
              <w:rPr>
                <w:rFonts w:ascii="宋体" w:hAnsi="宋体" w:eastAsia="宋体"/>
                <w:sz w:val="16"/>
              </w:rPr>
              <w:t>为了营造优美的会议环境，实施会议室维修改造项目，计划投资64.4万元，改善会议环境，维修改造项目验收合格率不低于95%，保障35人办公运行支出64.4万元，计划全年购买不低于3批次的办公用品及耗材，政府采购率达到95%；改造项目的实施有效改善了会议室环境，满足检察工作需求； 后勤保障质量提升，提高法律监督质量。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DCFBCB">
            <w:pPr>
              <w:jc w:val="both"/>
            </w:pPr>
            <w:r>
              <w:rPr>
                <w:rFonts w:ascii="宋体" w:hAnsi="宋体" w:eastAsia="宋体"/>
                <w:sz w:val="16"/>
              </w:rPr>
              <w:t>截至2024年12月31日，机关运行补助（自有资金）实际用于保障35人办公运行支出64.4万元，全年购买3批次的办公用品及耗材；院内绿化、办公楼维修改造次数4次；院内绿化、办公楼维修改造验收合格率达到100%；政府采购率达到100%；维修改造完工率达到100%；有效改善了办公环境。该项目的实施有效提升了后勤保障质量，提高了法律监督质量，不仅美化了办公环境，还满足了检察工作的需求。</w:t>
            </w:r>
          </w:p>
        </w:tc>
      </w:tr>
      <w:tr w14:paraId="4B4E7C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0781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02D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FBC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5BD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A10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B8D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C4A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08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1BE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3513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64C0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0CD2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5A6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DD97A">
            <w:pPr>
              <w:jc w:val="center"/>
            </w:pPr>
            <w:r>
              <w:rPr>
                <w:rFonts w:ascii="宋体" w:hAnsi="宋体" w:eastAsia="宋体"/>
                <w:sz w:val="16"/>
              </w:rPr>
              <w:t>偏差原因分析及改进措施</w:t>
            </w:r>
          </w:p>
        </w:tc>
      </w:tr>
      <w:tr w14:paraId="6E7D2B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05AF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E0E6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C08C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77F85">
            <w:pPr>
              <w:jc w:val="center"/>
            </w:pPr>
            <w:r>
              <w:rPr>
                <w:rFonts w:ascii="宋体" w:hAnsi="宋体" w:eastAsia="宋体"/>
                <w:sz w:val="16"/>
              </w:rPr>
              <w:t>院内绿化、办公楼维修改造次数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7C9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FD6D">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9302">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53F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33A2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2C5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9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6F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D1D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AAFCD">
            <w:pPr>
              <w:jc w:val="center"/>
            </w:pPr>
          </w:p>
        </w:tc>
      </w:tr>
      <w:tr w14:paraId="414BB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AC0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4357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C14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72D7F">
            <w:pPr>
              <w:jc w:val="center"/>
            </w:pPr>
            <w:r>
              <w:rPr>
                <w:rFonts w:ascii="宋体" w:hAnsi="宋体" w:eastAsia="宋体"/>
                <w:sz w:val="16"/>
              </w:rPr>
              <w:t>保障工作人员数量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E8D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7F58">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F8EA3">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B2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F73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91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1DF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F5B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31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C0AA1">
            <w:pPr>
              <w:jc w:val="center"/>
            </w:pPr>
          </w:p>
        </w:tc>
      </w:tr>
      <w:tr w14:paraId="374F9B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A31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334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5BB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A52E">
            <w:pPr>
              <w:jc w:val="center"/>
            </w:pPr>
            <w:r>
              <w:rPr>
                <w:rFonts w:ascii="宋体" w:hAnsi="宋体" w:eastAsia="宋体"/>
                <w:sz w:val="16"/>
              </w:rPr>
              <w:t>采购办公用品及耗材批次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F8A9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4E63">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AB4A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2B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76C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B1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349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DB4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543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6FC4">
            <w:pPr>
              <w:jc w:val="center"/>
            </w:pPr>
          </w:p>
        </w:tc>
      </w:tr>
      <w:tr w14:paraId="25BEC5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9E8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DD40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75FF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3794">
            <w:pPr>
              <w:jc w:val="center"/>
            </w:pPr>
            <w:r>
              <w:rPr>
                <w:rFonts w:ascii="宋体" w:hAnsi="宋体" w:eastAsia="宋体"/>
                <w:sz w:val="16"/>
              </w:rPr>
              <w:t>院内绿化、办公楼维修改造验收合格率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C142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8664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2CC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E6E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96FD">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77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0D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76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AA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3C1C">
            <w:pPr>
              <w:jc w:val="center"/>
            </w:pPr>
            <w:r>
              <w:rPr>
                <w:rFonts w:ascii="宋体" w:hAnsi="宋体" w:eastAsia="宋体"/>
                <w:sz w:val="16"/>
              </w:rPr>
              <w:t>该指标计划值设定根据上年度情况设定，因本年度修缮项目均验收合格，导致有偏差。</w:t>
            </w:r>
          </w:p>
        </w:tc>
      </w:tr>
      <w:tr w14:paraId="76EBD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45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9D9C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329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B9E42">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808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080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A4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D126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57B33">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BE2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45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9C1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985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96EA">
            <w:pPr>
              <w:jc w:val="center"/>
            </w:pPr>
            <w:r>
              <w:rPr>
                <w:rFonts w:ascii="宋体" w:hAnsi="宋体" w:eastAsia="宋体"/>
                <w:sz w:val="16"/>
              </w:rPr>
              <w:t>该指标计划值设定根据上年度情况设定，因本年度均及时采购，导致有偏差。</w:t>
            </w:r>
          </w:p>
        </w:tc>
      </w:tr>
      <w:tr w14:paraId="005794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ED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103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2DA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038F0">
            <w:pPr>
              <w:jc w:val="center"/>
            </w:pPr>
            <w:r>
              <w:rPr>
                <w:rFonts w:ascii="宋体" w:hAnsi="宋体" w:eastAsia="宋体"/>
                <w:sz w:val="16"/>
              </w:rPr>
              <w:t>维修改造完工率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C07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046B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1D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E318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F444">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8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8C1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055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A9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37F5C">
            <w:pPr>
              <w:jc w:val="center"/>
            </w:pPr>
            <w:r>
              <w:rPr>
                <w:rFonts w:ascii="宋体" w:hAnsi="宋体" w:eastAsia="宋体"/>
                <w:sz w:val="16"/>
              </w:rPr>
              <w:t>该指标计划值设定根据上年度情况设定，因本年度维修项目均已完工，导致有偏差。</w:t>
            </w:r>
          </w:p>
        </w:tc>
      </w:tr>
      <w:tr w14:paraId="6DB4B1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1E2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82D5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2F6F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8197">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FEC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A090">
            <w:pPr>
              <w:jc w:val="center"/>
            </w:pPr>
            <w:r>
              <w:rPr>
                <w:rFonts w:ascii="宋体" w:hAnsi="宋体" w:eastAsia="宋体"/>
                <w:sz w:val="16"/>
              </w:rPr>
              <w:t>&lt;=10.44万元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54D0">
            <w:pPr>
              <w:jc w:val="center"/>
            </w:pPr>
            <w:r>
              <w:rPr>
                <w:rFonts w:ascii="宋体" w:hAnsi="宋体" w:eastAsia="宋体"/>
                <w:sz w:val="16"/>
              </w:rPr>
              <w:t>=10.44万元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10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1CE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F47E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98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D3F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BC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BBEB8">
            <w:pPr>
              <w:jc w:val="center"/>
            </w:pPr>
          </w:p>
        </w:tc>
      </w:tr>
      <w:tr w14:paraId="7782E5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6E8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9CF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D428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BC5C2">
            <w:pPr>
              <w:jc w:val="center"/>
            </w:pPr>
            <w:r>
              <w:rPr>
                <w:rFonts w:ascii="宋体" w:hAnsi="宋体" w:eastAsia="宋体"/>
                <w:sz w:val="16"/>
              </w:rPr>
              <w:t>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3549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B9D12">
            <w:pPr>
              <w:jc w:val="center"/>
            </w:pPr>
            <w:r>
              <w:rPr>
                <w:rFonts w:ascii="宋体" w:hAnsi="宋体" w:eastAsia="宋体"/>
                <w:sz w:val="16"/>
              </w:rPr>
              <w:t>&lt;=53.96万元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443B">
            <w:pPr>
              <w:jc w:val="center"/>
            </w:pPr>
            <w:r>
              <w:rPr>
                <w:rFonts w:ascii="宋体" w:hAnsi="宋体" w:eastAsia="宋体"/>
                <w:sz w:val="16"/>
              </w:rPr>
              <w:t>=53.96万元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BF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F2A9">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8CF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C2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BB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12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1D0B4">
            <w:pPr>
              <w:jc w:val="center"/>
            </w:pPr>
          </w:p>
        </w:tc>
      </w:tr>
      <w:tr w14:paraId="58591F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73D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934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ED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111A4">
            <w:pPr>
              <w:jc w:val="center"/>
            </w:pPr>
            <w:r>
              <w:rPr>
                <w:rFonts w:ascii="宋体" w:hAnsi="宋体" w:eastAsia="宋体"/>
                <w:sz w:val="16"/>
              </w:rPr>
              <w:t>改善办公环境和业务办案需求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7C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8F63">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69A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37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4E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2F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5A7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612E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60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6B74C">
            <w:pPr>
              <w:jc w:val="center"/>
            </w:pPr>
          </w:p>
        </w:tc>
      </w:tr>
      <w:tr w14:paraId="4A6BF7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A5F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A3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9B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CE13">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B8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9A3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1F12">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39B16">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3F8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09F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F9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5681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8A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761A8">
            <w:pPr>
              <w:jc w:val="center"/>
            </w:pPr>
            <w:r>
              <w:rPr>
                <w:rFonts w:ascii="宋体" w:hAnsi="宋体" w:eastAsia="宋体"/>
                <w:sz w:val="16"/>
              </w:rPr>
              <w:t>该指标计划值设定根据上年度情况设定，因本年度该项目的实施有效提升了后勤保障质量，提高了法律监督质量，不仅美化了办公环境，还满足了检察工作的需求。服务对象给予100%好评，导致有偏差。</w:t>
            </w:r>
          </w:p>
        </w:tc>
      </w:tr>
      <w:tr w14:paraId="1F7E646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4B94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6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8AA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AB89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4323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FFB4">
            <w:pPr>
              <w:jc w:val="center"/>
            </w:pPr>
            <w:r>
              <w:rPr>
                <w:rFonts w:ascii="宋体" w:hAnsi="宋体" w:eastAsia="宋体"/>
                <w:sz w:val="16"/>
              </w:rPr>
              <w:t>99.04分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337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5D75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698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28A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E2BFD"/>
        </w:tc>
      </w:tr>
    </w:tbl>
    <w:p w14:paraId="703242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1EAFD35C">
        <w:tblPrEx>
          <w:tblCellMar>
            <w:top w:w="0" w:type="dxa"/>
            <w:left w:w="108" w:type="dxa"/>
            <w:bottom w:w="0" w:type="dxa"/>
            <w:right w:w="108" w:type="dxa"/>
          </w:tblCellMar>
        </w:tblPrEx>
        <w:tc>
          <w:tcPr>
            <w:tcW w:w="8992" w:type="dxa"/>
            <w:gridSpan w:val="14"/>
            <w:vAlign w:val="center"/>
          </w:tcPr>
          <w:p w14:paraId="65B2A9E0">
            <w:pPr>
              <w:jc w:val="center"/>
            </w:pPr>
            <w:r>
              <w:rPr>
                <w:rFonts w:ascii="宋体" w:hAnsi="宋体" w:eastAsia="宋体"/>
                <w:sz w:val="24"/>
              </w:rPr>
              <w:t>项目支出绩效自评表</w:t>
            </w:r>
          </w:p>
        </w:tc>
      </w:tr>
      <w:tr w14:paraId="3526138F">
        <w:tblPrEx>
          <w:tblCellMar>
            <w:top w:w="0" w:type="dxa"/>
            <w:left w:w="108" w:type="dxa"/>
            <w:bottom w:w="0" w:type="dxa"/>
            <w:right w:w="108" w:type="dxa"/>
          </w:tblCellMar>
        </w:tblPrEx>
        <w:tc>
          <w:tcPr>
            <w:tcW w:w="899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4730F6">
            <w:pPr>
              <w:jc w:val="center"/>
            </w:pPr>
            <w:r>
              <w:rPr>
                <w:rFonts w:ascii="宋体" w:hAnsi="宋体" w:eastAsia="宋体"/>
                <w:sz w:val="24"/>
              </w:rPr>
              <w:t>(2024年度)</w:t>
            </w:r>
          </w:p>
        </w:tc>
      </w:tr>
      <w:tr w14:paraId="1D527E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931D8">
            <w:pPr>
              <w:jc w:val="center"/>
            </w:pPr>
            <w:r>
              <w:rPr>
                <w:rFonts w:ascii="宋体" w:hAnsi="宋体" w:eastAsia="宋体"/>
                <w:sz w:val="16"/>
              </w:rPr>
              <w:t>项目名称</w:t>
            </w:r>
          </w:p>
        </w:tc>
        <w:tc>
          <w:tcPr>
            <w:tcW w:w="836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026D1E">
            <w:pPr>
              <w:jc w:val="center"/>
            </w:pPr>
            <w:r>
              <w:rPr>
                <w:rFonts w:ascii="宋体" w:hAnsi="宋体" w:eastAsia="宋体"/>
                <w:sz w:val="16"/>
              </w:rPr>
              <w:t>为民办实事项目经费</w:t>
            </w:r>
          </w:p>
        </w:tc>
      </w:tr>
      <w:tr w14:paraId="7DF366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F17EA">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63EBD6">
            <w:pPr>
              <w:jc w:val="center"/>
            </w:pPr>
            <w:r>
              <w:rPr>
                <w:rFonts w:ascii="宋体" w:hAnsi="宋体" w:eastAsia="宋体"/>
                <w:sz w:val="16"/>
              </w:rPr>
              <w:t>玛纳斯县人民检察院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15B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6AD429A">
            <w:pPr>
              <w:jc w:val="center"/>
            </w:pPr>
            <w:r>
              <w:rPr>
                <w:rFonts w:ascii="宋体" w:hAnsi="宋体" w:eastAsia="宋体"/>
                <w:sz w:val="16"/>
              </w:rPr>
              <w:t>玛纳斯县人民检察院</w:t>
            </w:r>
          </w:p>
        </w:tc>
      </w:tr>
      <w:tr w14:paraId="0DD663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12AC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4955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166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4B58E">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6C5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C9FD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0CC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8177">
            <w:pPr>
              <w:jc w:val="center"/>
            </w:pPr>
            <w:r>
              <w:rPr>
                <w:rFonts w:ascii="宋体" w:hAnsi="宋体" w:eastAsia="宋体"/>
                <w:sz w:val="16"/>
              </w:rPr>
              <w:t>得分</w:t>
            </w:r>
          </w:p>
        </w:tc>
      </w:tr>
      <w:tr w14:paraId="587515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E79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CCF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5A961">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2A6E8">
            <w:pPr>
              <w:jc w:val="center"/>
            </w:pPr>
            <w:r>
              <w:rPr>
                <w:rFonts w:ascii="宋体" w:hAnsi="宋体" w:eastAsia="宋体"/>
                <w:sz w:val="16"/>
              </w:rPr>
              <w:t>1.29</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DBE67">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4E7D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E4E3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7C801">
            <w:pPr>
              <w:jc w:val="center"/>
            </w:pPr>
            <w:r>
              <w:rPr>
                <w:rFonts w:ascii="宋体" w:hAnsi="宋体" w:eastAsia="宋体"/>
                <w:sz w:val="16"/>
              </w:rPr>
              <w:t>10.00</w:t>
            </w:r>
          </w:p>
        </w:tc>
      </w:tr>
      <w:tr w14:paraId="4ACDE1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8B3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3AF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B9604D">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163C8">
            <w:pPr>
              <w:jc w:val="center"/>
            </w:pPr>
            <w:r>
              <w:rPr>
                <w:rFonts w:ascii="宋体" w:hAnsi="宋体" w:eastAsia="宋体"/>
                <w:sz w:val="16"/>
              </w:rPr>
              <w:t>1.29</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06F26">
            <w:pPr>
              <w:jc w:val="center"/>
            </w:pPr>
            <w:r>
              <w:rPr>
                <w:rFonts w:ascii="宋体" w:hAnsi="宋体" w:eastAsia="宋体"/>
                <w:sz w:val="16"/>
              </w:rPr>
              <w:t>1.29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198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F30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23EA">
            <w:pPr>
              <w:jc w:val="center"/>
            </w:pPr>
            <w:r>
              <w:rPr>
                <w:rFonts w:ascii="宋体" w:hAnsi="宋体" w:eastAsia="宋体"/>
                <w:sz w:val="16"/>
              </w:rPr>
              <w:t>—</w:t>
            </w:r>
          </w:p>
        </w:tc>
      </w:tr>
      <w:tr w14:paraId="649A9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8FA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225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91C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102D8">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07F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1EE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FD87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BDE76">
            <w:pPr>
              <w:jc w:val="center"/>
            </w:pPr>
            <w:r>
              <w:rPr>
                <w:rFonts w:ascii="宋体" w:hAnsi="宋体" w:eastAsia="宋体"/>
                <w:sz w:val="16"/>
              </w:rPr>
              <w:t>—</w:t>
            </w:r>
          </w:p>
        </w:tc>
      </w:tr>
      <w:tr w14:paraId="33B87B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AA9C7F">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76CD6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31526E">
            <w:pPr>
              <w:jc w:val="center"/>
            </w:pPr>
            <w:r>
              <w:rPr>
                <w:rFonts w:ascii="宋体" w:hAnsi="宋体" w:eastAsia="宋体"/>
                <w:sz w:val="16"/>
              </w:rPr>
              <w:t>实际完成情况</w:t>
            </w:r>
          </w:p>
        </w:tc>
      </w:tr>
      <w:tr w14:paraId="5EAC46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FC71D"/>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E8E2B2">
            <w:pPr>
              <w:jc w:val="both"/>
            </w:pPr>
            <w:r>
              <w:rPr>
                <w:rFonts w:ascii="宋体" w:hAnsi="宋体" w:eastAsia="宋体"/>
                <w:sz w:val="16"/>
              </w:rPr>
              <w:t>为维护社会稳定，做好群众工作，2023年</w:t>
            </w:r>
            <w:r>
              <w:rPr>
                <w:rFonts w:hint="eastAsia" w:ascii="宋体" w:hAnsi="宋体"/>
                <w:sz w:val="16"/>
                <w:lang w:eastAsia="zh-CN"/>
              </w:rPr>
              <w:t>为民办实事</w:t>
            </w:r>
            <w:r>
              <w:rPr>
                <w:rFonts w:ascii="宋体" w:hAnsi="宋体" w:eastAsia="宋体"/>
                <w:sz w:val="16"/>
              </w:rPr>
              <w:t>工作坚持以总目标为统领，以提升组织为重点，全面落实惠民政策为民办实事好事，给群众送农资、送温暖、慰问困难群众、房屋修缮，改善人居环境，开展各项表彰活动等，切实增加村民收入，提高群众满意度，改善乡村环境，促进社会和谐。该项目州本级工作队第一书记经费1.29万元，计划用于维修小区内路灯等便民类工程1次；打造文化长廊、自来水维修等项目，稳步改善人居环境，群众满意度大于等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ACDC39">
            <w:pPr>
              <w:jc w:val="both"/>
            </w:pPr>
            <w:r>
              <w:rPr>
                <w:rFonts w:ascii="宋体" w:hAnsi="宋体" w:eastAsia="宋体"/>
                <w:sz w:val="16"/>
              </w:rPr>
              <w:t>截至2024年12月31日，机关运行补助（自有资金）实际用于采购五金建材1次；维修居民区路灯、自来水等次数2次 ；维修验收合格率100%；政府采购率100%；办公费已使用8234元；维护费已使用4731元；居民政治、文化、思想环境显著提高；人民群众对工作队为民服务满意度100%。该项目的实施全面落实了惠民政策为民办实事好事，给群众送农资、送温暖、慰问困难群众、房屋修缮，改善人居环境，开展各项表彰活动等，切实增加村民收入，提高群众满意度，改善乡村环境，促进社会和谐。</w:t>
            </w:r>
          </w:p>
        </w:tc>
      </w:tr>
      <w:tr w14:paraId="411116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137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A67D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7E67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C61A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A39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9B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55E0F">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CDB5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0593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AEC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3AF7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F70B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2EE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A023A">
            <w:pPr>
              <w:jc w:val="center"/>
            </w:pPr>
            <w:r>
              <w:rPr>
                <w:rFonts w:ascii="宋体" w:hAnsi="宋体" w:eastAsia="宋体"/>
                <w:sz w:val="16"/>
              </w:rPr>
              <w:t>偏差原因分析及改进措施</w:t>
            </w:r>
          </w:p>
        </w:tc>
      </w:tr>
      <w:tr w14:paraId="084CE8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E560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FB5B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139F8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5F29E">
            <w:pPr>
              <w:jc w:val="center"/>
            </w:pPr>
            <w:r>
              <w:rPr>
                <w:rFonts w:ascii="宋体" w:hAnsi="宋体" w:eastAsia="宋体"/>
                <w:sz w:val="16"/>
              </w:rPr>
              <w:t>采购五金材料款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93F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7C63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BC8D">
            <w:pPr>
              <w:jc w:val="center"/>
            </w:pPr>
            <w:r>
              <w:rPr>
                <w:rFonts w:ascii="宋体" w:hAnsi="宋体" w:eastAsia="宋体"/>
                <w:sz w:val="16"/>
              </w:rPr>
              <w:t>=1次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4CDF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B9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B1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29E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01A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06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112E">
            <w:pPr>
              <w:jc w:val="center"/>
            </w:pPr>
          </w:p>
        </w:tc>
      </w:tr>
      <w:tr w14:paraId="730260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C1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F59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30B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6EC3A">
            <w:pPr>
              <w:jc w:val="center"/>
            </w:pPr>
            <w:r>
              <w:rPr>
                <w:rFonts w:ascii="宋体" w:hAnsi="宋体" w:eastAsia="宋体"/>
                <w:sz w:val="16"/>
              </w:rPr>
              <w:t>维修居民区路灯、居民区清雪设备等次数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733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FABD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7395">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8764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367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998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F91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7D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F8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3FA1">
            <w:pPr>
              <w:jc w:val="center"/>
            </w:pPr>
          </w:p>
        </w:tc>
      </w:tr>
      <w:tr w14:paraId="44E8F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04A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4EF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244F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C57E">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168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848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425A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EB411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F1404">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79E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8B2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CC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C9E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71572">
            <w:pPr>
              <w:jc w:val="center"/>
            </w:pPr>
            <w:r>
              <w:rPr>
                <w:rFonts w:ascii="宋体" w:hAnsi="宋体" w:eastAsia="宋体"/>
                <w:sz w:val="16"/>
              </w:rPr>
              <w:t>该指标计划值设定根据上年度情况设定，因本年度修缮项目均验收合格，导致有偏差。</w:t>
            </w:r>
          </w:p>
        </w:tc>
      </w:tr>
      <w:tr w14:paraId="51F34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D78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BF1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7FD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DF61">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FF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25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24C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DEFAFA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D372">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D2E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F2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238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70C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951D4">
            <w:pPr>
              <w:jc w:val="center"/>
            </w:pPr>
            <w:r>
              <w:rPr>
                <w:rFonts w:ascii="宋体" w:hAnsi="宋体" w:eastAsia="宋体"/>
                <w:sz w:val="16"/>
              </w:rPr>
              <w:t>该指标计划值设定根据上年度情况设定，因本年度均及时采购，导致有偏差。</w:t>
            </w:r>
          </w:p>
        </w:tc>
      </w:tr>
      <w:tr w14:paraId="706CB2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1E6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519E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574B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FB81">
            <w:pPr>
              <w:jc w:val="center"/>
            </w:pPr>
            <w:r>
              <w:rPr>
                <w:rFonts w:ascii="宋体" w:hAnsi="宋体" w:eastAsia="宋体"/>
                <w:sz w:val="16"/>
              </w:rPr>
              <w:t>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D836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C1AF">
            <w:pPr>
              <w:jc w:val="center"/>
            </w:pPr>
            <w:r>
              <w:rPr>
                <w:rFonts w:ascii="宋体" w:hAnsi="宋体" w:eastAsia="宋体"/>
                <w:sz w:val="16"/>
              </w:rPr>
              <w:t>=4731元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2C18">
            <w:pPr>
              <w:jc w:val="center"/>
            </w:pPr>
            <w:r>
              <w:rPr>
                <w:rFonts w:ascii="宋体" w:hAnsi="宋体" w:eastAsia="宋体"/>
                <w:sz w:val="16"/>
              </w:rPr>
              <w:t>=4731元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BE4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DFD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FD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E92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B8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5E8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32FB">
            <w:pPr>
              <w:jc w:val="center"/>
            </w:pPr>
          </w:p>
        </w:tc>
      </w:tr>
      <w:tr w14:paraId="76828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85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A1E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B86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08AEC">
            <w:pPr>
              <w:jc w:val="center"/>
            </w:pPr>
            <w:r>
              <w:rPr>
                <w:rFonts w:ascii="宋体" w:hAnsi="宋体" w:eastAsia="宋体"/>
                <w:sz w:val="16"/>
              </w:rPr>
              <w:t>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FD9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FA9F">
            <w:pPr>
              <w:jc w:val="center"/>
            </w:pPr>
            <w:r>
              <w:rPr>
                <w:rFonts w:ascii="宋体" w:hAnsi="宋体" w:eastAsia="宋体"/>
                <w:sz w:val="16"/>
              </w:rPr>
              <w:t>=8234元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42080">
            <w:pPr>
              <w:jc w:val="center"/>
            </w:pPr>
            <w:r>
              <w:rPr>
                <w:rFonts w:ascii="宋体" w:hAnsi="宋体" w:eastAsia="宋体"/>
                <w:sz w:val="16"/>
              </w:rPr>
              <w:t>=8234元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A499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90B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4AC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63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5D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ADB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4659">
            <w:pPr>
              <w:jc w:val="center"/>
            </w:pPr>
          </w:p>
        </w:tc>
      </w:tr>
      <w:tr w14:paraId="48CF4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7C7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7476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D63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AE0E">
            <w:pPr>
              <w:jc w:val="center"/>
            </w:pPr>
            <w:r>
              <w:rPr>
                <w:rFonts w:ascii="宋体" w:hAnsi="宋体" w:eastAsia="宋体"/>
                <w:sz w:val="16"/>
              </w:rPr>
              <w:t>政治、文化、思想环境稳定，未发生重大信访、治安等案事件，居民幸福指数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33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6B1DC">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4D5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B24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2A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23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43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404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D3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D49D">
            <w:pPr>
              <w:jc w:val="center"/>
            </w:pPr>
          </w:p>
        </w:tc>
      </w:tr>
      <w:tr w14:paraId="63E35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4D9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B87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70D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D85A">
            <w:pPr>
              <w:jc w:val="center"/>
            </w:pPr>
            <w:r>
              <w:rPr>
                <w:rFonts w:ascii="宋体" w:hAnsi="宋体" w:eastAsia="宋体"/>
                <w:sz w:val="16"/>
              </w:rPr>
              <w:t>人民群众对工作队为民服务满意度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44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BA8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72267">
            <w:pPr>
              <w:jc w:val="center"/>
            </w:pPr>
            <w:r>
              <w:rPr>
                <w:rFonts w:ascii="宋体" w:hAnsi="宋体" w:eastAsia="宋体"/>
                <w:sz w:val="16"/>
              </w:rPr>
              <w:t>=98%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4C3820">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393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5C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06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66E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28E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101A">
            <w:pPr>
              <w:jc w:val="center"/>
            </w:pPr>
            <w:r>
              <w:rPr>
                <w:rFonts w:ascii="宋体" w:hAnsi="宋体" w:eastAsia="宋体"/>
                <w:sz w:val="16"/>
              </w:rPr>
              <w:t>该指标计划值设定根据上年度情况设定，因本年度该项目的实施有效改善了人居环境，切实增加村民收入，提高群众满意度，服务对象给予100%好评，导致有偏差。</w:t>
            </w:r>
          </w:p>
        </w:tc>
      </w:tr>
      <w:tr w14:paraId="70829C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D480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E5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648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9DB627"/>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7555D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6103">
            <w:pPr>
              <w:jc w:val="center"/>
            </w:pPr>
            <w:r>
              <w:rPr>
                <w:rFonts w:ascii="宋体" w:hAnsi="宋体" w:eastAsia="宋体"/>
                <w:sz w:val="16"/>
              </w:rPr>
              <w:t>99.48分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2635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3B3B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AE3E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D58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7A496"/>
        </w:tc>
      </w:tr>
    </w:tbl>
    <w:p w14:paraId="56DAB9A4">
      <w:r>
        <w:br w:type="page"/>
      </w:r>
    </w:p>
    <w:p w14:paraId="498B503D">
      <w:pPr>
        <w:spacing w:line="640" w:lineRule="exact"/>
        <w:ind w:firstLine="640"/>
        <w:jc w:val="both"/>
        <w:outlineLvl w:val="2"/>
      </w:pPr>
      <w:r>
        <w:rPr>
          <w:rFonts w:ascii="黑体" w:hAnsi="黑体" w:eastAsia="黑体"/>
          <w:sz w:val="32"/>
        </w:rPr>
        <w:t>十二、其他需说明的事项</w:t>
      </w:r>
    </w:p>
    <w:p w14:paraId="170CF49F">
      <w:pPr>
        <w:spacing w:line="580" w:lineRule="exact"/>
        <w:ind w:firstLine="640"/>
        <w:jc w:val="both"/>
      </w:pPr>
      <w:r>
        <w:rPr>
          <w:rFonts w:ascii="仿宋_GB2312" w:hAnsi="仿宋_GB2312" w:eastAsia="仿宋_GB2312"/>
          <w:b w:val="0"/>
          <w:sz w:val="32"/>
        </w:rPr>
        <w:t>本年本单位SM项目1个，全年预算数290</w:t>
      </w:r>
      <w:r>
        <w:rPr>
          <w:rFonts w:hint="eastAsia" w:ascii="仿宋_GB2312" w:hAnsi="仿宋_GB2312" w:eastAsia="仿宋_GB2312"/>
          <w:b w:val="0"/>
          <w:sz w:val="32"/>
          <w:lang w:val="en-US" w:eastAsia="zh-CN"/>
        </w:rPr>
        <w:t>.00</w:t>
      </w:r>
      <w:r>
        <w:rPr>
          <w:rFonts w:ascii="仿宋_GB2312" w:hAnsi="仿宋_GB2312" w:eastAsia="仿宋_GB2312"/>
          <w:b w:val="0"/>
          <w:sz w:val="32"/>
        </w:rPr>
        <w:t>万元，全年执行数290</w:t>
      </w:r>
      <w:r>
        <w:rPr>
          <w:rFonts w:hint="eastAsia" w:ascii="仿宋_GB2312" w:hAnsi="仿宋_GB2312" w:eastAsia="仿宋_GB2312"/>
          <w:b w:val="0"/>
          <w:sz w:val="32"/>
          <w:lang w:val="en-US" w:eastAsia="zh-CN"/>
        </w:rPr>
        <w:t>.00</w:t>
      </w:r>
      <w:r>
        <w:rPr>
          <w:rFonts w:ascii="仿宋_GB2312" w:hAnsi="仿宋_GB2312" w:eastAsia="仿宋_GB2312"/>
          <w:b w:val="0"/>
          <w:sz w:val="32"/>
        </w:rPr>
        <w:t>万元。</w:t>
      </w:r>
    </w:p>
    <w:p w14:paraId="7909C5C4">
      <w:r>
        <w:br w:type="page"/>
      </w:r>
    </w:p>
    <w:p w14:paraId="1DAADBA1">
      <w:pPr>
        <w:spacing w:line="240" w:lineRule="auto"/>
        <w:jc w:val="center"/>
        <w:outlineLvl w:val="1"/>
      </w:pPr>
      <w:r>
        <w:rPr>
          <w:rFonts w:ascii="黑体" w:hAnsi="黑体" w:eastAsia="黑体"/>
          <w:sz w:val="32"/>
        </w:rPr>
        <w:t>第三部分 专业名词解释</w:t>
      </w:r>
    </w:p>
    <w:p w14:paraId="6361EFC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3CAA8D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50AA63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F08BE9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3C5B19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D01A0D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38B522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539A06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ED2F4D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7EF9CC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2E848F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366FB4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FCAEA1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ADCE36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530B33E">
      <w:r>
        <w:br w:type="page"/>
      </w:r>
    </w:p>
    <w:p w14:paraId="5E7555A9">
      <w:pPr>
        <w:spacing w:line="240" w:lineRule="auto"/>
        <w:jc w:val="center"/>
        <w:outlineLvl w:val="1"/>
      </w:pPr>
      <w:r>
        <w:rPr>
          <w:rFonts w:ascii="黑体" w:hAnsi="黑体" w:eastAsia="黑体"/>
          <w:sz w:val="32"/>
        </w:rPr>
        <w:t>第四部分 部门决算报表（见附表）</w:t>
      </w:r>
    </w:p>
    <w:p w14:paraId="3F453235">
      <w:pPr>
        <w:spacing w:line="240" w:lineRule="auto"/>
        <w:ind w:firstLine="640"/>
        <w:jc w:val="both"/>
      </w:pPr>
      <w:r>
        <w:rPr>
          <w:rFonts w:ascii="仿宋_GB2312" w:hAnsi="仿宋_GB2312" w:eastAsia="仿宋_GB2312"/>
          <w:b w:val="0"/>
          <w:sz w:val="32"/>
        </w:rPr>
        <w:t>一、《收入支出决算总表》</w:t>
      </w:r>
    </w:p>
    <w:p w14:paraId="5AE78679">
      <w:pPr>
        <w:spacing w:line="240" w:lineRule="auto"/>
        <w:ind w:firstLine="640"/>
        <w:jc w:val="both"/>
      </w:pPr>
      <w:r>
        <w:rPr>
          <w:rFonts w:ascii="仿宋_GB2312" w:hAnsi="仿宋_GB2312" w:eastAsia="仿宋_GB2312"/>
          <w:b w:val="0"/>
          <w:sz w:val="32"/>
        </w:rPr>
        <w:t>二、《收入决算表》</w:t>
      </w:r>
    </w:p>
    <w:p w14:paraId="2A7FA4AC">
      <w:pPr>
        <w:spacing w:line="240" w:lineRule="auto"/>
        <w:ind w:firstLine="640"/>
        <w:jc w:val="both"/>
      </w:pPr>
      <w:r>
        <w:rPr>
          <w:rFonts w:ascii="仿宋_GB2312" w:hAnsi="仿宋_GB2312" w:eastAsia="仿宋_GB2312"/>
          <w:b w:val="0"/>
          <w:sz w:val="32"/>
        </w:rPr>
        <w:t>三、《支出决算表》</w:t>
      </w:r>
    </w:p>
    <w:p w14:paraId="4BFF0FC9">
      <w:pPr>
        <w:spacing w:line="240" w:lineRule="auto"/>
        <w:ind w:firstLine="640"/>
        <w:jc w:val="both"/>
      </w:pPr>
      <w:r>
        <w:rPr>
          <w:rFonts w:ascii="仿宋_GB2312" w:hAnsi="仿宋_GB2312" w:eastAsia="仿宋_GB2312"/>
          <w:b w:val="0"/>
          <w:sz w:val="32"/>
        </w:rPr>
        <w:t>四、《财政拨款收入支出决算总表》</w:t>
      </w:r>
    </w:p>
    <w:p w14:paraId="555B7F9C">
      <w:pPr>
        <w:spacing w:line="240" w:lineRule="auto"/>
        <w:ind w:firstLine="640"/>
        <w:jc w:val="both"/>
      </w:pPr>
      <w:r>
        <w:rPr>
          <w:rFonts w:ascii="仿宋_GB2312" w:hAnsi="仿宋_GB2312" w:eastAsia="仿宋_GB2312"/>
          <w:b w:val="0"/>
          <w:sz w:val="32"/>
        </w:rPr>
        <w:t>五、《一般公共预算财政拨款支出决算表》</w:t>
      </w:r>
    </w:p>
    <w:p w14:paraId="63DBC91D">
      <w:pPr>
        <w:spacing w:line="240" w:lineRule="auto"/>
        <w:ind w:firstLine="640"/>
        <w:jc w:val="both"/>
      </w:pPr>
      <w:r>
        <w:rPr>
          <w:rFonts w:ascii="仿宋_GB2312" w:hAnsi="仿宋_GB2312" w:eastAsia="仿宋_GB2312"/>
          <w:b w:val="0"/>
          <w:sz w:val="32"/>
        </w:rPr>
        <w:t>六、《一般公共预算财政拨款基本支出决算表》</w:t>
      </w:r>
    </w:p>
    <w:p w14:paraId="4C40FC6B">
      <w:pPr>
        <w:spacing w:line="240" w:lineRule="auto"/>
        <w:ind w:firstLine="640"/>
        <w:jc w:val="both"/>
      </w:pPr>
      <w:r>
        <w:rPr>
          <w:rFonts w:ascii="仿宋_GB2312" w:hAnsi="仿宋_GB2312" w:eastAsia="仿宋_GB2312"/>
          <w:b w:val="0"/>
          <w:sz w:val="32"/>
        </w:rPr>
        <w:t>七、《政府性基金预算财政拨款收入支出决算表》</w:t>
      </w:r>
    </w:p>
    <w:p w14:paraId="772F3B7E">
      <w:pPr>
        <w:spacing w:line="240" w:lineRule="auto"/>
        <w:ind w:firstLine="640"/>
        <w:jc w:val="both"/>
      </w:pPr>
      <w:r>
        <w:rPr>
          <w:rFonts w:ascii="仿宋_GB2312" w:hAnsi="仿宋_GB2312" w:eastAsia="仿宋_GB2312"/>
          <w:b w:val="0"/>
          <w:sz w:val="32"/>
        </w:rPr>
        <w:t>八、《国有资本经营预算财政拨款收入支出决算表》</w:t>
      </w:r>
    </w:p>
    <w:p w14:paraId="60D6EA74">
      <w:pPr>
        <w:spacing w:line="240" w:lineRule="auto"/>
        <w:ind w:firstLine="640"/>
        <w:jc w:val="both"/>
      </w:pPr>
      <w:r>
        <w:rPr>
          <w:rFonts w:ascii="仿宋_GB2312" w:hAnsi="仿宋_GB2312" w:eastAsia="仿宋_GB2312"/>
          <w:b w:val="0"/>
          <w:sz w:val="32"/>
        </w:rPr>
        <w:t>九、《财政拨款“三公”经费支出决算表》</w:t>
      </w:r>
    </w:p>
    <w:p w14:paraId="771AA3EC">
      <w:pPr>
        <w:spacing w:line="240" w:lineRule="auto"/>
        <w:ind w:firstLine="640"/>
        <w:jc w:val="both"/>
      </w:pPr>
    </w:p>
    <w:p w14:paraId="66D976C9">
      <w:pPr>
        <w:spacing w:line="240" w:lineRule="auto"/>
        <w:ind w:firstLine="640"/>
        <w:jc w:val="both"/>
      </w:pPr>
    </w:p>
    <w:p w14:paraId="64D85C67">
      <w:pPr>
        <w:spacing w:line="240" w:lineRule="auto"/>
        <w:ind w:firstLine="640"/>
        <w:jc w:val="both"/>
      </w:pPr>
    </w:p>
    <w:p w14:paraId="1619E78E">
      <w:pPr>
        <w:spacing w:line="240" w:lineRule="auto"/>
        <w:ind w:firstLine="640"/>
        <w:jc w:val="both"/>
      </w:pPr>
    </w:p>
    <w:p w14:paraId="519D1F0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B22349-57B4-45E8-96EB-D7C5BD6D82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DE754C1-CE43-44AC-B22A-9857DD2061EC}"/>
  </w:font>
  <w:font w:name="仿宋_GB2312">
    <w:panose1 w:val="02010609030101010101"/>
    <w:charset w:val="86"/>
    <w:family w:val="modern"/>
    <w:pitch w:val="default"/>
    <w:sig w:usb0="00000001" w:usb1="080E0000" w:usb2="00000000" w:usb3="00000000" w:csb0="00040000" w:csb1="00000000"/>
    <w:embedRegular r:id="rId3" w:fontKey="{0A23F9E2-AA9F-4623-899A-8A5599782C4A}"/>
  </w:font>
  <w:font w:name="楷体_GB2312">
    <w:panose1 w:val="02010609030101010101"/>
    <w:charset w:val="86"/>
    <w:family w:val="auto"/>
    <w:pitch w:val="default"/>
    <w:sig w:usb0="00000001" w:usb1="080E0000" w:usb2="00000000" w:usb3="00000000" w:csb0="00040000" w:csb1="00000000"/>
    <w:embedRegular r:id="rId4" w:fontKey="{BFA09C1D-27AD-4ADC-AFCE-2931E4CFC0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63325F4"/>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6B5FE9"/>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8826C25"/>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8E00EC9"/>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6111</Words>
  <Characters>6893</Characters>
  <Lines>0</Lines>
  <Paragraphs>0</Paragraphs>
  <TotalTime>3</TotalTime>
  <ScaleCrop>false</ScaleCrop>
  <LinksUpToDate>false</LinksUpToDate>
  <CharactersWithSpaces>6901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