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1D717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木垒哈萨克自治县人民法院2024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B4B9B2D">
      <w:r>
        <w:br w:type="page"/>
      </w:r>
    </w:p>
    <w:p w14:paraId="741DF526">
      <w:pPr>
        <w:spacing w:line="640" w:lineRule="exact"/>
        <w:jc w:val="center"/>
        <w:outlineLvl w:val="1"/>
      </w:pPr>
      <w:r>
        <w:rPr>
          <w:rFonts w:ascii="黑体" w:hAnsi="黑体" w:eastAsia="黑体"/>
          <w:sz w:val="32"/>
        </w:rPr>
        <w:t>第一部分 单位概况</w:t>
      </w:r>
    </w:p>
    <w:p w14:paraId="2C69908F">
      <w:pPr>
        <w:spacing w:line="640" w:lineRule="exact"/>
        <w:ind w:firstLine="640"/>
        <w:jc w:val="both"/>
        <w:outlineLvl w:val="2"/>
      </w:pPr>
      <w:r>
        <w:rPr>
          <w:rFonts w:ascii="黑体" w:hAnsi="黑体" w:eastAsia="黑体"/>
          <w:sz w:val="32"/>
        </w:rPr>
        <w:t>一、主要职能</w:t>
      </w:r>
    </w:p>
    <w:p w14:paraId="784456A6">
      <w:pPr>
        <w:spacing w:line="580" w:lineRule="exact"/>
        <w:ind w:firstLine="640"/>
        <w:jc w:val="both"/>
        <w:rPr>
          <w:rFonts w:hint="eastAsia" w:eastAsia="仿宋_GB2312"/>
          <w:lang w:eastAsia="zh-CN"/>
        </w:rPr>
      </w:pPr>
      <w:r>
        <w:rPr>
          <w:rFonts w:ascii="仿宋_GB2312" w:hAnsi="仿宋_GB2312" w:eastAsia="仿宋_GB2312"/>
          <w:sz w:val="32"/>
        </w:rPr>
        <w:t>木垒哈萨克自治县人民法院（以下简称：</w:t>
      </w:r>
      <w:r>
        <w:rPr>
          <w:rFonts w:hint="eastAsia" w:ascii="仿宋_GB2312" w:hAnsi="仿宋_GB2312" w:eastAsia="仿宋_GB2312"/>
          <w:sz w:val="32"/>
          <w:lang w:eastAsia="zh-CN"/>
        </w:rPr>
        <w:t>木垒哈萨克自治县</w:t>
      </w:r>
      <w:r>
        <w:rPr>
          <w:rFonts w:ascii="仿宋_GB2312" w:hAnsi="仿宋_GB2312" w:eastAsia="仿宋_GB2312"/>
          <w:sz w:val="32"/>
        </w:rPr>
        <w:t>人民法院）是国家的审判机关，对自治县人民代表大会及其常务委员会负责并报告工作。接受上级人民法院对审判工作的监督和业务指导，其主要职责是</w:t>
      </w:r>
      <w:r>
        <w:rPr>
          <w:rFonts w:hint="eastAsia" w:ascii="仿宋_GB2312" w:hAnsi="仿宋_GB2312" w:eastAsia="仿宋_GB2312"/>
          <w:sz w:val="32"/>
          <w:lang w:eastAsia="zh-CN"/>
        </w:rPr>
        <w:t>：</w:t>
      </w:r>
    </w:p>
    <w:p w14:paraId="6B552C4A">
      <w:pPr>
        <w:spacing w:line="580" w:lineRule="exact"/>
        <w:ind w:firstLine="640"/>
        <w:jc w:val="both"/>
      </w:pPr>
      <w:bookmarkStart w:id="0" w:name="_GoBack"/>
      <w:r>
        <w:rPr>
          <w:rFonts w:ascii="仿宋_GB2312" w:hAnsi="仿宋_GB2312" w:eastAsia="仿宋_GB2312"/>
          <w:sz w:val="32"/>
        </w:rPr>
        <w:t>1、</w:t>
      </w:r>
      <w:bookmarkEnd w:id="0"/>
      <w:r>
        <w:rPr>
          <w:rFonts w:ascii="仿宋_GB2312" w:hAnsi="仿宋_GB2312" w:eastAsia="仿宋_GB2312"/>
          <w:sz w:val="32"/>
        </w:rPr>
        <w:t>依法审判法律规定由本院管辖、州中级人民法院指定管辖或者认为应当由自己管辖的刑事、民事、行政等第一审案件。</w:t>
      </w:r>
    </w:p>
    <w:p w14:paraId="322AC45F">
      <w:pPr>
        <w:spacing w:line="580" w:lineRule="exact"/>
        <w:ind w:firstLine="640"/>
        <w:jc w:val="both"/>
      </w:pPr>
      <w:r>
        <w:rPr>
          <w:rFonts w:ascii="仿宋_GB2312" w:hAnsi="仿宋_GB2312" w:eastAsia="仿宋_GB2312"/>
          <w:sz w:val="32"/>
        </w:rPr>
        <w:t>2、审理上级人民法院指令再审的各类案件；受理不服本院判决的各类申诉和再审申请的案件。</w:t>
      </w:r>
    </w:p>
    <w:p w14:paraId="30F083D5">
      <w:pPr>
        <w:spacing w:line="580" w:lineRule="exact"/>
        <w:ind w:firstLine="640"/>
        <w:jc w:val="both"/>
      </w:pPr>
      <w:r>
        <w:rPr>
          <w:rFonts w:ascii="仿宋_GB2312" w:hAnsi="仿宋_GB2312" w:eastAsia="仿宋_GB2312"/>
          <w:sz w:val="32"/>
        </w:rPr>
        <w:t>3、依法审判由检察院按照审判监督程序提出的抗诉案件。</w:t>
      </w:r>
    </w:p>
    <w:p w14:paraId="68DD9FF4">
      <w:pPr>
        <w:spacing w:line="580" w:lineRule="exact"/>
        <w:ind w:firstLine="640"/>
        <w:jc w:val="both"/>
      </w:pPr>
      <w:r>
        <w:rPr>
          <w:rFonts w:ascii="仿宋_GB2312" w:hAnsi="仿宋_GB2312" w:eastAsia="仿宋_GB2312"/>
          <w:sz w:val="32"/>
        </w:rPr>
        <w:t>4、对地方性法规、规章等草案提出意见，研究拟定本院工作规章制度；针对案件审理中发现的问题提出司法建议。</w:t>
      </w:r>
    </w:p>
    <w:p w14:paraId="15073BF9">
      <w:pPr>
        <w:spacing w:line="580" w:lineRule="exact"/>
        <w:ind w:firstLine="640"/>
        <w:jc w:val="both"/>
      </w:pPr>
      <w:r>
        <w:rPr>
          <w:rFonts w:ascii="仿宋_GB2312" w:hAnsi="仿宋_GB2312" w:eastAsia="仿宋_GB2312"/>
          <w:sz w:val="32"/>
        </w:rPr>
        <w:t>5、依法办理外地法院的委托事项，负责本院档案管理工作。</w:t>
      </w:r>
    </w:p>
    <w:p w14:paraId="2B0068E1">
      <w:pPr>
        <w:spacing w:line="580" w:lineRule="exact"/>
        <w:ind w:firstLine="640"/>
        <w:jc w:val="both"/>
      </w:pPr>
      <w:r>
        <w:rPr>
          <w:rFonts w:ascii="仿宋_GB2312" w:hAnsi="仿宋_GB2312" w:eastAsia="仿宋_GB2312"/>
          <w:sz w:val="32"/>
        </w:rPr>
        <w:t>6、对本院的法官和其他工作人员进行思想政治教育、组织专业培训；协助县委做好本院领导干部的培养、选拔、管理工作；按照权限管理法官和其他工作人员；协助县政府机构编制</w:t>
      </w:r>
      <w:r>
        <w:rPr>
          <w:rFonts w:hint="eastAsia" w:ascii="仿宋_GB2312" w:hAnsi="仿宋_GB2312" w:eastAsia="仿宋_GB2312"/>
          <w:sz w:val="32"/>
          <w:lang w:eastAsia="zh-CN"/>
        </w:rPr>
        <w:t>木垒哈萨克自治县</w:t>
      </w:r>
      <w:r>
        <w:rPr>
          <w:rFonts w:ascii="仿宋_GB2312" w:hAnsi="仿宋_GB2312" w:eastAsia="仿宋_GB2312"/>
          <w:sz w:val="32"/>
        </w:rPr>
        <w:t>人民法院管理本院的机构设置及人员编制工作。</w:t>
      </w:r>
    </w:p>
    <w:p w14:paraId="2E8FF927">
      <w:pPr>
        <w:spacing w:line="580" w:lineRule="exact"/>
        <w:ind w:firstLine="640"/>
        <w:jc w:val="both"/>
      </w:pPr>
      <w:r>
        <w:rPr>
          <w:rFonts w:ascii="仿宋_GB2312" w:hAnsi="仿宋_GB2312" w:eastAsia="仿宋_GB2312"/>
          <w:sz w:val="32"/>
        </w:rPr>
        <w:t>7、做好本院的监察工作。</w:t>
      </w:r>
    </w:p>
    <w:p w14:paraId="58DC5746">
      <w:pPr>
        <w:spacing w:line="580" w:lineRule="exact"/>
        <w:ind w:firstLine="640"/>
        <w:jc w:val="both"/>
      </w:pPr>
      <w:r>
        <w:rPr>
          <w:rFonts w:ascii="仿宋_GB2312" w:hAnsi="仿宋_GB2312" w:eastAsia="仿宋_GB2312"/>
          <w:sz w:val="32"/>
        </w:rPr>
        <w:t>8、在审判工作中宣传法制、教育公民自觉遵守宪法法律。</w:t>
      </w:r>
    </w:p>
    <w:p w14:paraId="6BC26660">
      <w:pPr>
        <w:spacing w:line="580" w:lineRule="exact"/>
        <w:ind w:firstLine="640"/>
        <w:jc w:val="both"/>
      </w:pPr>
      <w:r>
        <w:rPr>
          <w:rFonts w:ascii="仿宋_GB2312" w:hAnsi="仿宋_GB2312" w:eastAsia="仿宋_GB2312"/>
          <w:sz w:val="32"/>
        </w:rPr>
        <w:t>9、管理本院的有关经费和物资装备。</w:t>
      </w:r>
    </w:p>
    <w:p w14:paraId="3D13B85E">
      <w:pPr>
        <w:spacing w:line="580" w:lineRule="exact"/>
        <w:ind w:firstLine="640"/>
        <w:jc w:val="both"/>
      </w:pPr>
      <w:r>
        <w:rPr>
          <w:rFonts w:ascii="仿宋_GB2312" w:hAnsi="仿宋_GB2312" w:eastAsia="仿宋_GB2312"/>
          <w:sz w:val="32"/>
        </w:rPr>
        <w:t>10、承办其他应由本院负责的工作。</w:t>
      </w:r>
    </w:p>
    <w:p w14:paraId="75590284">
      <w:pPr>
        <w:spacing w:line="640" w:lineRule="exact"/>
        <w:ind w:firstLine="640"/>
        <w:jc w:val="both"/>
        <w:outlineLvl w:val="2"/>
      </w:pPr>
      <w:r>
        <w:rPr>
          <w:rFonts w:ascii="黑体" w:hAnsi="黑体" w:eastAsia="黑体"/>
          <w:sz w:val="32"/>
        </w:rPr>
        <w:t>二、机构设置及人员情况</w:t>
      </w:r>
    </w:p>
    <w:p w14:paraId="42CB7463">
      <w:pPr>
        <w:spacing w:line="580" w:lineRule="exact"/>
        <w:ind w:firstLine="640"/>
        <w:jc w:val="both"/>
      </w:pPr>
      <w:r>
        <w:rPr>
          <w:rFonts w:ascii="仿宋_GB2312" w:hAnsi="仿宋_GB2312" w:eastAsia="仿宋_GB2312"/>
          <w:sz w:val="32"/>
        </w:rPr>
        <w:t>木垒哈萨克自治县人民法院2024年度，实有人数87人，其中：在职人员57人，增加2人；离休人员0人，增加0人；退休人员30人,增加0人。</w:t>
      </w:r>
    </w:p>
    <w:p w14:paraId="1E280833">
      <w:pPr>
        <w:spacing w:line="580" w:lineRule="exact"/>
        <w:ind w:firstLine="640"/>
        <w:jc w:val="both"/>
      </w:pPr>
      <w:r>
        <w:rPr>
          <w:rFonts w:ascii="仿宋_GB2312" w:hAnsi="仿宋_GB2312" w:eastAsia="仿宋_GB2312"/>
          <w:sz w:val="32"/>
        </w:rPr>
        <w:t>木垒哈萨克自治县人民法院无下属预算单位，下设8个科室，分别是：综合办公室（司法警察大队）、立案庭、政治部、审判管理办公室、刑事审判庭、民事审判庭、执行局、行政审判庭。</w:t>
      </w:r>
    </w:p>
    <w:p w14:paraId="0A4532F4">
      <w:r>
        <w:br w:type="page"/>
      </w:r>
    </w:p>
    <w:p w14:paraId="4EB64A72">
      <w:pPr>
        <w:spacing w:line="240" w:lineRule="auto"/>
        <w:jc w:val="center"/>
        <w:outlineLvl w:val="1"/>
      </w:pPr>
      <w:r>
        <w:rPr>
          <w:rFonts w:ascii="黑体" w:hAnsi="黑体" w:eastAsia="黑体"/>
          <w:sz w:val="32"/>
        </w:rPr>
        <w:t>第二部分 部门决算情况说明</w:t>
      </w:r>
    </w:p>
    <w:p w14:paraId="49CE2B6A">
      <w:pPr>
        <w:spacing w:line="640" w:lineRule="exact"/>
        <w:ind w:firstLine="640"/>
        <w:jc w:val="both"/>
        <w:outlineLvl w:val="2"/>
      </w:pPr>
      <w:r>
        <w:rPr>
          <w:rFonts w:ascii="黑体" w:hAnsi="黑体" w:eastAsia="黑体"/>
          <w:sz w:val="32"/>
        </w:rPr>
        <w:t>一、收入支出决算总体情况说明</w:t>
      </w:r>
    </w:p>
    <w:p w14:paraId="22B31225">
      <w:pPr>
        <w:spacing w:line="580" w:lineRule="exact"/>
        <w:ind w:firstLine="640"/>
        <w:jc w:val="both"/>
      </w:pPr>
      <w:r>
        <w:rPr>
          <w:rFonts w:ascii="仿宋_GB2312" w:hAnsi="仿宋_GB2312" w:eastAsia="仿宋_GB2312"/>
          <w:b/>
          <w:sz w:val="32"/>
        </w:rPr>
        <w:t>2024年度收入总计1,977.86万元，</w:t>
      </w:r>
      <w:r>
        <w:rPr>
          <w:rFonts w:ascii="仿宋_GB2312" w:hAnsi="仿宋_GB2312" w:eastAsia="仿宋_GB2312"/>
          <w:b w:val="0"/>
          <w:sz w:val="32"/>
        </w:rPr>
        <w:t>其中：本年收入合计1,977.86万元，使用非财政拨款结余（含专用结余）0.00万元，年初结转和结余0.00万元。</w:t>
      </w:r>
    </w:p>
    <w:p w14:paraId="5AF697EA">
      <w:pPr>
        <w:spacing w:line="580" w:lineRule="exact"/>
        <w:ind w:firstLine="640"/>
        <w:jc w:val="both"/>
      </w:pPr>
      <w:r>
        <w:rPr>
          <w:rFonts w:ascii="仿宋_GB2312" w:hAnsi="仿宋_GB2312" w:eastAsia="仿宋_GB2312"/>
          <w:b/>
          <w:sz w:val="32"/>
        </w:rPr>
        <w:t>2024年度支出总计1,977.86万元，</w:t>
      </w:r>
      <w:r>
        <w:rPr>
          <w:rFonts w:ascii="仿宋_GB2312" w:hAnsi="仿宋_GB2312" w:eastAsia="仿宋_GB2312"/>
          <w:b w:val="0"/>
          <w:sz w:val="32"/>
        </w:rPr>
        <w:t>其中：本年支出合计</w:t>
      </w:r>
      <w:r>
        <w:rPr>
          <w:rFonts w:ascii="仿宋_GB2312" w:hAnsi="仿宋_GB2312" w:eastAsia="仿宋_GB2312"/>
          <w:b w:val="0"/>
          <w:spacing w:val="-17"/>
          <w:sz w:val="32"/>
        </w:rPr>
        <w:t>1,977.86万元，结余分配0.00万元，年末结转和结余0.00万元。</w:t>
      </w:r>
    </w:p>
    <w:p w14:paraId="2F4188F1">
      <w:pPr>
        <w:spacing w:line="580" w:lineRule="exact"/>
        <w:ind w:firstLine="640"/>
        <w:jc w:val="both"/>
      </w:pPr>
      <w:r>
        <w:rPr>
          <w:rFonts w:ascii="仿宋_GB2312" w:hAnsi="仿宋_GB2312" w:eastAsia="仿宋_GB2312"/>
          <w:b w:val="0"/>
          <w:sz w:val="32"/>
        </w:rPr>
        <w:t>收入支出总体与上年相比，增加32.21万元，增长1.66%，主要原因是：本年中央纪检监察转移支付资金较上年增加；本年增加单位劳务派遣人员工资。</w:t>
      </w:r>
    </w:p>
    <w:p w14:paraId="26D46488">
      <w:pPr>
        <w:spacing w:line="640" w:lineRule="exact"/>
        <w:ind w:firstLine="640"/>
        <w:jc w:val="both"/>
        <w:outlineLvl w:val="2"/>
      </w:pPr>
      <w:r>
        <w:rPr>
          <w:rFonts w:ascii="黑体" w:hAnsi="黑体" w:eastAsia="黑体"/>
          <w:sz w:val="32"/>
        </w:rPr>
        <w:t>二、收入决算情况说明</w:t>
      </w:r>
    </w:p>
    <w:p w14:paraId="6FA24ECE">
      <w:pPr>
        <w:spacing w:line="580" w:lineRule="exact"/>
        <w:ind w:firstLine="640"/>
        <w:jc w:val="both"/>
      </w:pPr>
      <w:r>
        <w:rPr>
          <w:rFonts w:ascii="仿宋_GB2312" w:hAnsi="仿宋_GB2312" w:eastAsia="仿宋_GB2312"/>
          <w:b/>
          <w:sz w:val="32"/>
        </w:rPr>
        <w:t>本年收入1,977.86万元，</w:t>
      </w:r>
      <w:r>
        <w:rPr>
          <w:rFonts w:ascii="仿宋_GB2312" w:hAnsi="仿宋_GB2312" w:eastAsia="仿宋_GB2312"/>
          <w:b w:val="0"/>
          <w:sz w:val="32"/>
        </w:rPr>
        <w:t>其中：财政拨款收入1,957.86万元，占98.99%；上级补助收入0.00万元，占0.00%；事业收入0.00万元，占0.00%；经营收入0.00万元，占0.00%；附属单位上缴收入0.00万元，占0.00%；其他收入20.00万元，占1.01%。</w:t>
      </w:r>
    </w:p>
    <w:p w14:paraId="7831F571">
      <w:pPr>
        <w:spacing w:line="640" w:lineRule="exact"/>
        <w:ind w:firstLine="640"/>
        <w:jc w:val="both"/>
        <w:outlineLvl w:val="2"/>
      </w:pPr>
      <w:r>
        <w:rPr>
          <w:rFonts w:ascii="黑体" w:hAnsi="黑体" w:eastAsia="黑体"/>
          <w:sz w:val="32"/>
        </w:rPr>
        <w:t>三、支出决算情况说明</w:t>
      </w:r>
    </w:p>
    <w:p w14:paraId="39E19C91">
      <w:pPr>
        <w:spacing w:line="580" w:lineRule="exact"/>
        <w:ind w:firstLine="640"/>
        <w:jc w:val="both"/>
      </w:pPr>
      <w:r>
        <w:rPr>
          <w:rFonts w:ascii="仿宋_GB2312" w:hAnsi="仿宋_GB2312" w:eastAsia="仿宋_GB2312"/>
          <w:b/>
          <w:sz w:val="32"/>
        </w:rPr>
        <w:t>本年支出1,977.86万元，</w:t>
      </w:r>
      <w:r>
        <w:rPr>
          <w:rFonts w:ascii="仿宋_GB2312" w:hAnsi="仿宋_GB2312" w:eastAsia="仿宋_GB2312"/>
          <w:b w:val="0"/>
          <w:sz w:val="32"/>
        </w:rPr>
        <w:t>其中：基本支出1,535.61万元，占77.64%；项目支出442.26万元，占22.36%；上缴上级支出0.00万元，占0.00%；经营支出0.00万元，占0.00%；对附属单位补助支出0.00万元，占0.00%。</w:t>
      </w:r>
    </w:p>
    <w:p w14:paraId="101378AA">
      <w:pPr>
        <w:spacing w:line="640" w:lineRule="exact"/>
        <w:ind w:firstLine="640"/>
        <w:jc w:val="both"/>
        <w:outlineLvl w:val="2"/>
      </w:pPr>
      <w:r>
        <w:rPr>
          <w:rFonts w:ascii="黑体" w:hAnsi="黑体" w:eastAsia="黑体"/>
          <w:sz w:val="32"/>
        </w:rPr>
        <w:t>四、财政拨款收入支出决算总体情况说明</w:t>
      </w:r>
    </w:p>
    <w:p w14:paraId="33762910">
      <w:pPr>
        <w:spacing w:line="580" w:lineRule="exact"/>
        <w:ind w:firstLine="640"/>
        <w:jc w:val="both"/>
      </w:pPr>
      <w:r>
        <w:rPr>
          <w:rFonts w:ascii="仿宋_GB2312" w:hAnsi="仿宋_GB2312" w:eastAsia="仿宋_GB2312"/>
          <w:b/>
          <w:sz w:val="32"/>
        </w:rPr>
        <w:t>2024年度财政拨款收入总计1,957.86万元，</w:t>
      </w:r>
      <w:r>
        <w:rPr>
          <w:rFonts w:ascii="仿宋_GB2312" w:hAnsi="仿宋_GB2312" w:eastAsia="仿宋_GB2312"/>
          <w:b w:val="0"/>
          <w:sz w:val="32"/>
        </w:rPr>
        <w:t>其中：年初财政拨款结转和结余0.00万元，本年财政拨款收入1,957.86万元。</w:t>
      </w:r>
      <w:r>
        <w:rPr>
          <w:rFonts w:ascii="仿宋_GB2312" w:hAnsi="仿宋_GB2312" w:eastAsia="仿宋_GB2312"/>
          <w:b/>
          <w:sz w:val="32"/>
        </w:rPr>
        <w:t>财政拨款支出总计1,957.86万元，</w:t>
      </w:r>
      <w:r>
        <w:rPr>
          <w:rFonts w:ascii="仿宋_GB2312" w:hAnsi="仿宋_GB2312" w:eastAsia="仿宋_GB2312"/>
          <w:b w:val="0"/>
          <w:sz w:val="32"/>
        </w:rPr>
        <w:t>其中：年末财政拨款结转和结余0.00万元，本年财政拨款支出1,957.86万元。</w:t>
      </w:r>
    </w:p>
    <w:p w14:paraId="136E438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增加12.21万元，增长0.63%，主要原因是：本年中央纪检监察转移支付资金较上年增加。</w:t>
      </w:r>
      <w:r>
        <w:rPr>
          <w:rFonts w:ascii="仿宋_GB2312" w:hAnsi="仿宋_GB2312" w:eastAsia="仿宋_GB2312"/>
          <w:b/>
          <w:sz w:val="32"/>
        </w:rPr>
        <w:t>与年初预算相比，</w:t>
      </w:r>
      <w:r>
        <w:rPr>
          <w:rFonts w:ascii="仿宋_GB2312" w:hAnsi="仿宋_GB2312" w:eastAsia="仿宋_GB2312"/>
          <w:b w:val="0"/>
          <w:sz w:val="32"/>
        </w:rPr>
        <w:t>年初预算数1,873.58万元，决算数1,957.86万元，预决算差异率4.50%，主要原因是：年中追加第二批中央纪检监察转移支付资金，导致预决算存在差异。</w:t>
      </w:r>
    </w:p>
    <w:p w14:paraId="479AE4EA">
      <w:pPr>
        <w:spacing w:line="640" w:lineRule="exact"/>
        <w:ind w:firstLine="640"/>
        <w:jc w:val="both"/>
        <w:outlineLvl w:val="2"/>
      </w:pPr>
      <w:r>
        <w:rPr>
          <w:rFonts w:ascii="黑体" w:hAnsi="黑体" w:eastAsia="黑体"/>
          <w:sz w:val="32"/>
        </w:rPr>
        <w:t>五、一般公共预算财政拨款支出决算情况说明</w:t>
      </w:r>
    </w:p>
    <w:p w14:paraId="26D1432B">
      <w:pPr>
        <w:spacing w:line="640" w:lineRule="exact"/>
        <w:ind w:firstLine="640"/>
        <w:jc w:val="both"/>
        <w:outlineLvl w:val="3"/>
      </w:pPr>
      <w:r>
        <w:rPr>
          <w:rFonts w:ascii="楷体_GB2312" w:hAnsi="楷体_GB2312" w:eastAsia="楷体_GB2312"/>
          <w:b/>
          <w:sz w:val="32"/>
        </w:rPr>
        <w:t>（一）一般公共预算财政拨款支出决算总体情况</w:t>
      </w:r>
    </w:p>
    <w:p w14:paraId="521BF9F5">
      <w:pPr>
        <w:spacing w:line="580" w:lineRule="exact"/>
        <w:ind w:firstLine="640"/>
        <w:jc w:val="both"/>
      </w:pPr>
      <w:r>
        <w:rPr>
          <w:rFonts w:ascii="仿宋_GB2312" w:hAnsi="仿宋_GB2312" w:eastAsia="仿宋_GB2312"/>
          <w:b/>
          <w:sz w:val="32"/>
        </w:rPr>
        <w:t>2024年度一般公共预算财政拨款支出1,957.86万元，</w:t>
      </w:r>
      <w:r>
        <w:rPr>
          <w:rFonts w:ascii="仿宋_GB2312" w:hAnsi="仿宋_GB2312" w:eastAsia="仿宋_GB2312"/>
          <w:b w:val="0"/>
          <w:sz w:val="32"/>
        </w:rPr>
        <w:t>占本年支出合计的98.99%。</w:t>
      </w:r>
      <w:r>
        <w:rPr>
          <w:rFonts w:ascii="仿宋_GB2312" w:hAnsi="仿宋_GB2312" w:eastAsia="仿宋_GB2312"/>
          <w:b/>
          <w:sz w:val="32"/>
        </w:rPr>
        <w:t>与上年相比，</w:t>
      </w:r>
      <w:r>
        <w:rPr>
          <w:rFonts w:ascii="仿宋_GB2312" w:hAnsi="仿宋_GB2312" w:eastAsia="仿宋_GB2312"/>
          <w:b w:val="0"/>
          <w:sz w:val="32"/>
        </w:rPr>
        <w:t>增加12.21万元，增长0.63%，主要原因是：本年中央纪检监察转移支付资金较上年增加。</w:t>
      </w:r>
      <w:r>
        <w:rPr>
          <w:rFonts w:ascii="仿宋_GB2312" w:hAnsi="仿宋_GB2312" w:eastAsia="仿宋_GB2312"/>
          <w:b/>
          <w:sz w:val="32"/>
        </w:rPr>
        <w:t>与年初预算相比,</w:t>
      </w:r>
      <w:r>
        <w:rPr>
          <w:rFonts w:ascii="仿宋_GB2312" w:hAnsi="仿宋_GB2312" w:eastAsia="仿宋_GB2312"/>
          <w:b w:val="0"/>
          <w:sz w:val="32"/>
        </w:rPr>
        <w:t>年初预算数1,873.58万元，决算数1,957.86万元，预决算差异率4.50%，主要原因是：年中追加第二批中央纪检监察转移支付资金，导致预决算存在差异。</w:t>
      </w:r>
    </w:p>
    <w:p w14:paraId="5A850EC6">
      <w:pPr>
        <w:spacing w:line="640" w:lineRule="exact"/>
        <w:ind w:firstLine="640"/>
        <w:jc w:val="both"/>
        <w:outlineLvl w:val="3"/>
      </w:pPr>
      <w:r>
        <w:rPr>
          <w:rFonts w:ascii="楷体_GB2312" w:hAnsi="楷体_GB2312" w:eastAsia="楷体_GB2312"/>
          <w:b/>
          <w:sz w:val="32"/>
        </w:rPr>
        <w:t>（二）一般公共预算财政拨款支出决算结构情况</w:t>
      </w:r>
    </w:p>
    <w:p w14:paraId="638F01AE">
      <w:pPr>
        <w:spacing w:line="580" w:lineRule="exact"/>
        <w:ind w:firstLine="640"/>
        <w:jc w:val="both"/>
      </w:pPr>
      <w:r>
        <w:rPr>
          <w:rFonts w:ascii="仿宋_GB2312" w:hAnsi="仿宋_GB2312" w:eastAsia="仿宋_GB2312"/>
          <w:b w:val="0"/>
          <w:sz w:val="32"/>
        </w:rPr>
        <w:t>1.公共安全支出(类)1,636.33万元,占83.58%。</w:t>
      </w:r>
    </w:p>
    <w:p w14:paraId="432529A7">
      <w:pPr>
        <w:spacing w:line="580" w:lineRule="exact"/>
        <w:ind w:firstLine="640"/>
        <w:jc w:val="both"/>
      </w:pPr>
      <w:r>
        <w:rPr>
          <w:rFonts w:ascii="仿宋_GB2312" w:hAnsi="仿宋_GB2312" w:eastAsia="仿宋_GB2312"/>
          <w:b w:val="0"/>
          <w:sz w:val="32"/>
        </w:rPr>
        <w:t>2.社会保障和就业支出(类)174.22万元,占8.90%。</w:t>
      </w:r>
    </w:p>
    <w:p w14:paraId="5D2BC0DD">
      <w:pPr>
        <w:spacing w:line="580" w:lineRule="exact"/>
        <w:ind w:firstLine="640"/>
        <w:jc w:val="both"/>
      </w:pPr>
      <w:r>
        <w:rPr>
          <w:rFonts w:ascii="仿宋_GB2312" w:hAnsi="仿宋_GB2312" w:eastAsia="仿宋_GB2312"/>
          <w:b w:val="0"/>
          <w:sz w:val="32"/>
        </w:rPr>
        <w:t>3.卫生健康支出(类)55.57万元,占2.84%。</w:t>
      </w:r>
    </w:p>
    <w:p w14:paraId="791593FE">
      <w:pPr>
        <w:spacing w:line="580" w:lineRule="exact"/>
        <w:ind w:firstLine="640"/>
        <w:jc w:val="both"/>
      </w:pPr>
      <w:r>
        <w:rPr>
          <w:rFonts w:ascii="仿宋_GB2312" w:hAnsi="仿宋_GB2312" w:eastAsia="仿宋_GB2312"/>
          <w:b w:val="0"/>
          <w:sz w:val="32"/>
        </w:rPr>
        <w:t>4.住房保障支出(类)85.74万元,占4.38%。</w:t>
      </w:r>
    </w:p>
    <w:p w14:paraId="1EEC030F">
      <w:pPr>
        <w:spacing w:line="580" w:lineRule="exact"/>
        <w:ind w:firstLine="640"/>
        <w:jc w:val="both"/>
      </w:pPr>
      <w:r>
        <w:rPr>
          <w:rFonts w:ascii="仿宋_GB2312" w:hAnsi="仿宋_GB2312" w:eastAsia="仿宋_GB2312"/>
          <w:b w:val="0"/>
          <w:sz w:val="32"/>
        </w:rPr>
        <w:t>5.其他支出(类)6.00万元,占0.31%。</w:t>
      </w:r>
    </w:p>
    <w:p w14:paraId="2B087AF2">
      <w:pPr>
        <w:spacing w:line="640" w:lineRule="exact"/>
        <w:ind w:firstLine="640"/>
        <w:jc w:val="both"/>
        <w:outlineLvl w:val="3"/>
      </w:pPr>
      <w:r>
        <w:rPr>
          <w:rFonts w:ascii="楷体_GB2312" w:hAnsi="楷体_GB2312" w:eastAsia="楷体_GB2312"/>
          <w:b/>
          <w:sz w:val="32"/>
        </w:rPr>
        <w:t>（三）一般公共预算财政拨款支出决算具体情况</w:t>
      </w:r>
    </w:p>
    <w:p w14:paraId="048A1967">
      <w:pPr>
        <w:spacing w:line="580" w:lineRule="exact"/>
        <w:ind w:firstLine="640"/>
        <w:jc w:val="both"/>
      </w:pPr>
      <w:r>
        <w:rPr>
          <w:rFonts w:ascii="仿宋_GB2312" w:hAnsi="仿宋_GB2312" w:eastAsia="仿宋_GB2312"/>
          <w:b w:val="0"/>
          <w:sz w:val="32"/>
        </w:rPr>
        <w:t>1.公共安全支出(类)法院(款)行政运行(项):支出决算数为1,220.08万元，比上年决算增加37.69万元，增长3.19%,主要原因是：本年新增在职人员，在职人员工资调增，导致相关人员经费较上年有所增加。</w:t>
      </w:r>
    </w:p>
    <w:p w14:paraId="2981139F">
      <w:pPr>
        <w:spacing w:line="580" w:lineRule="exact"/>
        <w:ind w:firstLine="640"/>
        <w:jc w:val="both"/>
      </w:pPr>
      <w:r>
        <w:rPr>
          <w:rFonts w:ascii="仿宋_GB2312" w:hAnsi="仿宋_GB2312" w:eastAsia="仿宋_GB2312"/>
          <w:b w:val="0"/>
          <w:sz w:val="32"/>
        </w:rPr>
        <w:t>2.公共安全支出(类)法院(款)一般行政管理事务(项):支出决算数为0.00万元，比上年决算减少99.45万元，下降100.00%,主要原因是：本年减少机关运行补助经费、</w:t>
      </w:r>
      <w:r>
        <w:rPr>
          <w:rFonts w:hint="eastAsia" w:ascii="仿宋_GB2312" w:hAnsi="仿宋_GB2312" w:eastAsia="仿宋_GB2312"/>
          <w:b w:val="0"/>
          <w:sz w:val="32"/>
          <w:lang w:eastAsia="zh-CN"/>
        </w:rPr>
        <w:t>木垒哈萨克自治县</w:t>
      </w:r>
      <w:r>
        <w:rPr>
          <w:rFonts w:ascii="仿宋_GB2312" w:hAnsi="仿宋_GB2312" w:eastAsia="仿宋_GB2312"/>
          <w:b w:val="0"/>
          <w:sz w:val="32"/>
        </w:rPr>
        <w:t>法院化解债务。</w:t>
      </w:r>
    </w:p>
    <w:p w14:paraId="0778C0E8">
      <w:pPr>
        <w:spacing w:line="580" w:lineRule="exact"/>
        <w:ind w:firstLine="640"/>
        <w:jc w:val="both"/>
      </w:pPr>
      <w:r>
        <w:rPr>
          <w:rFonts w:ascii="仿宋_GB2312" w:hAnsi="仿宋_GB2312" w:eastAsia="仿宋_GB2312"/>
          <w:b w:val="0"/>
          <w:sz w:val="32"/>
        </w:rPr>
        <w:t>3.公共安全支出(类)法院(款)其他法院支出(项):支出决算数为416.26万元，比上年决算增加55.41万元，增长15.36%,主要原因是：本年中央纪检监察转移支付资金较上年增加。</w:t>
      </w:r>
    </w:p>
    <w:p w14:paraId="0843EB0C">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4.社会保障和就业支出(类)行政事业单位养老支出(款)行政单位离退休(项):支出决算数为19.06万元，比上年决算增加6.52万元，增长51.99%,主要原因是：本年增加退休人员基础绩效奖，退休费支出增加。</w:t>
      </w:r>
    </w:p>
    <w:p w14:paraId="2D8E1E63">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103.44万元，比上年决算增加11.16万元，增长12.09%,主要原因是：本年在职人员工资基数调增，养老缴费基数上涨，相应支出增加。</w:t>
      </w:r>
    </w:p>
    <w:p w14:paraId="74D1F27B">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51.72万元，比上年决算增加3.56万元，增长7.39%,主要原因是：本年在职人员工资基数调增，职业年金缴费支出增加。</w:t>
      </w:r>
    </w:p>
    <w:p w14:paraId="7A5D1A4D">
      <w:pPr>
        <w:spacing w:line="580" w:lineRule="exact"/>
        <w:ind w:firstLine="640"/>
        <w:jc w:val="both"/>
      </w:pPr>
      <w:r>
        <w:rPr>
          <w:rFonts w:ascii="仿宋_GB2312" w:hAnsi="仿宋_GB2312" w:eastAsia="仿宋_GB2312"/>
          <w:b w:val="0"/>
          <w:sz w:val="32"/>
        </w:rPr>
        <w:t>7.卫生健康支出(类)行政事业单位医疗(款)行政单位医疗(项):支出决算数为52.02万元，比上年决算增加4.55万元，增长9.59%,主要原因是：本年在职人员工资基数调增，医疗缴费基数上涨，相应支出增加。</w:t>
      </w:r>
    </w:p>
    <w:p w14:paraId="3D60038C">
      <w:pPr>
        <w:spacing w:line="580" w:lineRule="exact"/>
        <w:ind w:firstLine="640"/>
        <w:jc w:val="both"/>
      </w:pPr>
      <w:r>
        <w:rPr>
          <w:rFonts w:ascii="仿宋_GB2312" w:hAnsi="仿宋_GB2312" w:eastAsia="仿宋_GB2312"/>
          <w:b w:val="0"/>
          <w:sz w:val="32"/>
        </w:rPr>
        <w:t>8.卫生健康支出(类)行政事业单位医疗(款)公务员医疗补助(项):支出决算数为3.06万元，比上年决算减少0.03万元，下降0.97%,主要原因是：本年在职人员变动，存在调出、新录用人员，人员职级不同，缴费基数不同，导致公务员医疗补助较上年减少。</w:t>
      </w:r>
    </w:p>
    <w:p w14:paraId="2D65DE1B">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0.49万元，比上年决算减少0.01万元，下降2.00%,主要原因是：本年在职人员变动，存在调出、新录用人员，人员职级不同，缴费基数不同，导致其他行政事业单位医疗支出较上年减少。</w:t>
      </w:r>
    </w:p>
    <w:p w14:paraId="38202131">
      <w:pPr>
        <w:spacing w:line="580" w:lineRule="exact"/>
        <w:ind w:firstLine="640"/>
        <w:jc w:val="both"/>
      </w:pPr>
      <w:r>
        <w:rPr>
          <w:rFonts w:ascii="仿宋_GB2312" w:hAnsi="仿宋_GB2312" w:eastAsia="仿宋_GB2312"/>
          <w:b w:val="0"/>
          <w:sz w:val="32"/>
        </w:rPr>
        <w:t>10.住房保障支出(类)住房改革支出(款)住房公积金(项):支出决算数为85.74万元，比上年决算增加0.17万元，增长0.20%,主要原因是：本年在职人员工资基数调增，公积金缴费基数上涨，相应支出增加。</w:t>
      </w:r>
    </w:p>
    <w:p w14:paraId="226E3FD9">
      <w:pPr>
        <w:spacing w:line="580" w:lineRule="exact"/>
        <w:ind w:firstLine="640"/>
        <w:jc w:val="both"/>
      </w:pPr>
      <w:r>
        <w:rPr>
          <w:rFonts w:ascii="仿宋_GB2312" w:hAnsi="仿宋_GB2312" w:eastAsia="仿宋_GB2312"/>
          <w:b w:val="0"/>
          <w:sz w:val="32"/>
        </w:rPr>
        <w:t>11.其他支出(类)其他支出(款)其他支出(项):支出决算数为6.00万元，比上年决算减少7.36万元，下降55.09%,主要原因是：本年</w:t>
      </w:r>
      <w:r>
        <w:rPr>
          <w:rFonts w:hint="eastAsia" w:ascii="仿宋_GB2312" w:hAnsi="仿宋_GB2312" w:eastAsia="仿宋_GB2312"/>
          <w:b w:val="0"/>
          <w:sz w:val="32"/>
          <w:lang w:eastAsia="zh-CN"/>
        </w:rPr>
        <w:t>为民办实事</w:t>
      </w:r>
      <w:r>
        <w:rPr>
          <w:rFonts w:ascii="仿宋_GB2312" w:hAnsi="仿宋_GB2312" w:eastAsia="仿宋_GB2312"/>
          <w:b w:val="0"/>
          <w:sz w:val="32"/>
        </w:rPr>
        <w:t>工作队撤回，工作队经费减少，导致相应支出减少。</w:t>
      </w:r>
    </w:p>
    <w:p w14:paraId="465AFDC1">
      <w:pPr>
        <w:spacing w:line="640" w:lineRule="exact"/>
        <w:ind w:firstLine="640"/>
        <w:jc w:val="both"/>
        <w:outlineLvl w:val="2"/>
      </w:pPr>
      <w:r>
        <w:rPr>
          <w:rFonts w:ascii="黑体" w:hAnsi="黑体" w:eastAsia="黑体"/>
          <w:sz w:val="32"/>
        </w:rPr>
        <w:t>六、一般公共预算财政拨款基本支出决算情况说明</w:t>
      </w:r>
    </w:p>
    <w:p w14:paraId="5971083B">
      <w:pPr>
        <w:spacing w:line="580" w:lineRule="exact"/>
        <w:ind w:firstLine="640"/>
        <w:jc w:val="both"/>
      </w:pPr>
      <w:r>
        <w:rPr>
          <w:rFonts w:ascii="仿宋_GB2312" w:hAnsi="仿宋_GB2312" w:eastAsia="仿宋_GB2312"/>
          <w:b w:val="0"/>
          <w:sz w:val="32"/>
        </w:rPr>
        <w:t>2024年度一般公共预算财政拨款基本支出1,535.61万元，其中：</w:t>
      </w:r>
      <w:r>
        <w:rPr>
          <w:rFonts w:ascii="仿宋_GB2312" w:hAnsi="仿宋_GB2312" w:eastAsia="仿宋_GB2312"/>
          <w:b/>
          <w:sz w:val="32"/>
        </w:rPr>
        <w:t>人员经费1,392.43万元，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46D90FB3">
      <w:pPr>
        <w:spacing w:line="580" w:lineRule="exact"/>
        <w:ind w:firstLine="640"/>
        <w:jc w:val="both"/>
      </w:pPr>
      <w:r>
        <w:rPr>
          <w:rFonts w:ascii="仿宋_GB2312" w:hAnsi="仿宋_GB2312" w:eastAsia="仿宋_GB2312"/>
          <w:b/>
          <w:sz w:val="32"/>
        </w:rPr>
        <w:t>公用经费143.17万元，</w:t>
      </w:r>
      <w:r>
        <w:rPr>
          <w:rFonts w:ascii="仿宋_GB2312" w:hAnsi="仿宋_GB2312" w:eastAsia="仿宋_GB2312"/>
          <w:b w:val="0"/>
          <w:sz w:val="32"/>
        </w:rPr>
        <w:t>包括：办公费、印刷费、水费、电费、邮电费、取暖费、物业管理费、差旅费、维修（护）费、培训费、公务接待费、劳务费、工会经费、福利费、公务用车运行维护费、其他商品和服务支出。</w:t>
      </w:r>
    </w:p>
    <w:p w14:paraId="0EC92897">
      <w:pPr>
        <w:spacing w:line="640" w:lineRule="exact"/>
        <w:ind w:firstLine="640"/>
        <w:jc w:val="both"/>
        <w:outlineLvl w:val="2"/>
      </w:pPr>
      <w:r>
        <w:rPr>
          <w:rFonts w:ascii="黑体" w:hAnsi="黑体" w:eastAsia="黑体"/>
          <w:sz w:val="32"/>
        </w:rPr>
        <w:t>七、政府性基金预算财政拨款收入支出决算情况说明</w:t>
      </w:r>
    </w:p>
    <w:p w14:paraId="4BDC175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E361535">
      <w:pPr>
        <w:spacing w:line="640" w:lineRule="exact"/>
        <w:ind w:firstLine="640"/>
        <w:jc w:val="both"/>
        <w:outlineLvl w:val="2"/>
      </w:pPr>
      <w:r>
        <w:rPr>
          <w:rFonts w:ascii="黑体" w:hAnsi="黑体" w:eastAsia="黑体"/>
          <w:sz w:val="32"/>
        </w:rPr>
        <w:t>八、国有资本经营预算财政拨款收入支出决算情况说明</w:t>
      </w:r>
    </w:p>
    <w:p w14:paraId="119A4A4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60FADA7">
      <w:pPr>
        <w:spacing w:line="640" w:lineRule="exact"/>
        <w:ind w:firstLine="640"/>
        <w:jc w:val="both"/>
        <w:outlineLvl w:val="2"/>
      </w:pPr>
      <w:r>
        <w:rPr>
          <w:rFonts w:ascii="黑体" w:hAnsi="黑体" w:eastAsia="黑体"/>
          <w:sz w:val="32"/>
        </w:rPr>
        <w:t>九、财政拨款“三公”经费支出决算情况说明</w:t>
      </w:r>
    </w:p>
    <w:p w14:paraId="6D40EAC2">
      <w:pPr>
        <w:spacing w:line="580" w:lineRule="exact"/>
        <w:ind w:firstLine="640"/>
        <w:jc w:val="both"/>
      </w:pPr>
      <w:r>
        <w:rPr>
          <w:rFonts w:ascii="仿宋_GB2312" w:hAnsi="仿宋_GB2312" w:eastAsia="仿宋_GB2312"/>
          <w:b/>
          <w:sz w:val="32"/>
        </w:rPr>
        <w:t>2024年度财政拨款“三公”经费支出21.30万元，</w:t>
      </w:r>
      <w:r>
        <w:rPr>
          <w:rFonts w:ascii="仿宋_GB2312" w:hAnsi="仿宋_GB2312" w:eastAsia="仿宋_GB2312"/>
          <w:b w:val="0"/>
          <w:sz w:val="32"/>
        </w:rPr>
        <w:t>比上年减少0.05万元，下降0.23%，主要原因是：严格落实中央八项规定精神，厉行节约，减少公务接待费。其中：因公出国（境）费支出0.00万元，占0.00%，比上年增加0.00万元，增长0.00%，主要原因是：2023年与2024年均未安排因公出国（境）费支出。公务用车购置及运行维护费支出21.00万元，占98.59%，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公务用车运行维护费与上年一致无变化。公务接待费支出0.30万元，占1.41%，比上年减少0.05万元，下降14.29%，主要原因是：严格落实中央八项规定精神，厉行节约，减少公务接待费。</w:t>
      </w:r>
    </w:p>
    <w:p w14:paraId="2049D240">
      <w:pPr>
        <w:spacing w:line="580" w:lineRule="exact"/>
        <w:ind w:firstLine="640"/>
        <w:jc w:val="both"/>
      </w:pPr>
      <w:r>
        <w:rPr>
          <w:rFonts w:ascii="仿宋_GB2312" w:hAnsi="仿宋_GB2312" w:eastAsia="仿宋_GB2312"/>
          <w:b/>
          <w:sz w:val="32"/>
        </w:rPr>
        <w:t>具体情况如下：</w:t>
      </w:r>
    </w:p>
    <w:p w14:paraId="523B7E0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04257AA">
      <w:pPr>
        <w:spacing w:line="580" w:lineRule="exact"/>
        <w:ind w:firstLine="640"/>
        <w:jc w:val="both"/>
      </w:pPr>
      <w:r>
        <w:rPr>
          <w:rFonts w:ascii="仿宋_GB2312" w:hAnsi="仿宋_GB2312" w:eastAsia="仿宋_GB2312"/>
          <w:b w:val="0"/>
          <w:sz w:val="32"/>
        </w:rPr>
        <w:t>公务用车购置及运行维护费21.00万元，其中：公务用车购置费0.00万元，公务用车运行维护费21.00万元。公务用车运行维护费开支内容包括车辆加油费、维修费、保险费、审车费、过路费等。公务用车购置数0辆，公务用车保有量12辆。国有资产占用情况中固定资产车辆12辆，与公务用车保有量差异原因是：本单位固定资产车辆与公务用车保有量一致无差异。</w:t>
      </w:r>
    </w:p>
    <w:p w14:paraId="0424D335">
      <w:pPr>
        <w:spacing w:line="580" w:lineRule="exact"/>
        <w:ind w:firstLine="640"/>
        <w:jc w:val="both"/>
      </w:pPr>
      <w:r>
        <w:rPr>
          <w:rFonts w:ascii="仿宋_GB2312" w:hAnsi="仿宋_GB2312" w:eastAsia="仿宋_GB2312"/>
          <w:b w:val="0"/>
          <w:sz w:val="32"/>
        </w:rPr>
        <w:t>公务接待费0.30万元，开支内容包括上级来我院检查、指导工作在外工作餐费用。单位全年安排的国内公务接待6批次，50人次。</w:t>
      </w:r>
    </w:p>
    <w:p w14:paraId="675A550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21.30万元，决算数21.30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21.00万元，决算数21.00万元，预决算差异率0.00%，主要原因是：严格按照预算执行，预决算无差异。公务接待费全年预算数0.30万元，决算数0.30万元，预决算差异率0.00%，主要原因是：严格按照预算执行，预决算无差异。</w:t>
      </w:r>
    </w:p>
    <w:p w14:paraId="63268C04">
      <w:pPr>
        <w:spacing w:line="640" w:lineRule="exact"/>
        <w:ind w:firstLine="640"/>
        <w:jc w:val="both"/>
        <w:outlineLvl w:val="2"/>
      </w:pPr>
      <w:r>
        <w:rPr>
          <w:rFonts w:ascii="黑体" w:hAnsi="黑体" w:eastAsia="黑体"/>
          <w:sz w:val="32"/>
        </w:rPr>
        <w:t>十、其他重要事项的情况说明</w:t>
      </w:r>
    </w:p>
    <w:p w14:paraId="72AF3E01">
      <w:pPr>
        <w:spacing w:line="640" w:lineRule="exact"/>
        <w:ind w:firstLine="640"/>
        <w:jc w:val="both"/>
        <w:outlineLvl w:val="3"/>
      </w:pPr>
      <w:r>
        <w:rPr>
          <w:rFonts w:ascii="楷体_GB2312" w:hAnsi="楷体_GB2312" w:eastAsia="楷体_GB2312"/>
          <w:b/>
          <w:sz w:val="32"/>
        </w:rPr>
        <w:t>（一）机关运行经费及公用经费支出情况</w:t>
      </w:r>
    </w:p>
    <w:p w14:paraId="1F60254C">
      <w:pPr>
        <w:spacing w:line="580" w:lineRule="exact"/>
        <w:ind w:firstLine="640"/>
        <w:jc w:val="both"/>
      </w:pPr>
      <w:r>
        <w:rPr>
          <w:rFonts w:ascii="仿宋_GB2312" w:hAnsi="仿宋_GB2312" w:eastAsia="仿宋_GB2312"/>
          <w:b w:val="0"/>
          <w:sz w:val="32"/>
        </w:rPr>
        <w:t>2024年度木垒哈萨克自治县人民法院（行政单位和参照公务员法管理事业单位）机关运行经费支出143.17万元，比上年增加6.18万元，增长4.51%，主要原因是：本年办公费、工会经费、福利费等支出增加，导致机关运行经费增加。</w:t>
      </w:r>
    </w:p>
    <w:p w14:paraId="3C25616D">
      <w:pPr>
        <w:spacing w:line="640" w:lineRule="exact"/>
        <w:ind w:firstLine="640"/>
        <w:jc w:val="both"/>
        <w:outlineLvl w:val="3"/>
      </w:pPr>
      <w:r>
        <w:rPr>
          <w:rFonts w:ascii="楷体_GB2312" w:hAnsi="楷体_GB2312" w:eastAsia="楷体_GB2312"/>
          <w:b/>
          <w:sz w:val="32"/>
        </w:rPr>
        <w:t>（二）政府采购情况</w:t>
      </w:r>
    </w:p>
    <w:p w14:paraId="19655225">
      <w:pPr>
        <w:spacing w:line="580" w:lineRule="exact"/>
        <w:ind w:firstLine="640"/>
        <w:jc w:val="both"/>
      </w:pPr>
      <w:r>
        <w:rPr>
          <w:rFonts w:ascii="仿宋_GB2312" w:hAnsi="仿宋_GB2312" w:eastAsia="仿宋_GB2312"/>
          <w:b w:val="0"/>
          <w:sz w:val="32"/>
        </w:rPr>
        <w:t>2024年度政府采购支出总额245.91万元，其中：政府采购货物支出133.42万元、政府采购工程支出0.00万元、政府采购服务支出112.49万元。</w:t>
      </w:r>
    </w:p>
    <w:p w14:paraId="58A36E2E">
      <w:pPr>
        <w:spacing w:line="580" w:lineRule="exact"/>
        <w:ind w:firstLine="640"/>
        <w:jc w:val="both"/>
      </w:pPr>
      <w:r>
        <w:rPr>
          <w:rFonts w:ascii="仿宋_GB2312" w:hAnsi="仿宋_GB2312" w:eastAsia="仿宋_GB2312"/>
          <w:b w:val="0"/>
          <w:sz w:val="32"/>
        </w:rPr>
        <w:t>授予中小企业合同金额245.91万元，占政府采购支出总额的100.00%，其中：授予小微企业合同金额245.91万元，占政府采购支出总额的100.00%。</w:t>
      </w:r>
    </w:p>
    <w:p w14:paraId="32ADF849">
      <w:pPr>
        <w:spacing w:line="640" w:lineRule="exact"/>
        <w:ind w:firstLine="640"/>
        <w:jc w:val="both"/>
        <w:outlineLvl w:val="3"/>
      </w:pPr>
      <w:r>
        <w:rPr>
          <w:rFonts w:ascii="楷体_GB2312" w:hAnsi="楷体_GB2312" w:eastAsia="楷体_GB2312"/>
          <w:b/>
          <w:sz w:val="32"/>
        </w:rPr>
        <w:t>（三）国有资产占用情况说明</w:t>
      </w:r>
    </w:p>
    <w:p w14:paraId="7B8C415E">
      <w:pPr>
        <w:spacing w:line="580" w:lineRule="exact"/>
        <w:ind w:firstLine="640"/>
        <w:jc w:val="both"/>
      </w:pPr>
      <w:r>
        <w:rPr>
          <w:rFonts w:ascii="仿宋_GB2312" w:hAnsi="仿宋_GB2312" w:eastAsia="仿宋_GB2312"/>
          <w:b w:val="0"/>
          <w:sz w:val="32"/>
        </w:rPr>
        <w:t>截至2024年12月31日，房屋8,004.63平方米，价值2,403.70万元。车辆12辆，价值275.58万元，其中：副部（省）级及以上领导用车0辆、主要负责人用车0辆、机要通信用车0辆、应急保障用车0辆、执法执勤用车9辆、特种专业技术用车3辆、离退休干部服务用车0辆、其他用车0辆，其他用车主要是：本单位无其他用车。单价100万元（含）以上设备（不含车辆）0台（套）。</w:t>
      </w:r>
    </w:p>
    <w:p w14:paraId="398AACB3">
      <w:pPr>
        <w:spacing w:line="640" w:lineRule="exact"/>
        <w:ind w:firstLine="640"/>
        <w:jc w:val="both"/>
        <w:outlineLvl w:val="2"/>
      </w:pPr>
      <w:r>
        <w:rPr>
          <w:rFonts w:ascii="黑体" w:hAnsi="黑体" w:eastAsia="黑体"/>
          <w:sz w:val="32"/>
        </w:rPr>
        <w:t>十一、预算绩效的情况说明</w:t>
      </w:r>
    </w:p>
    <w:p w14:paraId="5F568D5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根据预算绩效管理要求，本单位2024年度预算绩效管理形成整体支出绩效自评表1个，全年预算总额1,977.86万元，实际执行总额1,977.86万元；预算绩效评价项目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rPr>
        <w:t>442.26</w:t>
      </w:r>
      <w:r>
        <w:rPr>
          <w:rFonts w:ascii="仿宋_GB2312" w:hAnsi="仿宋_GB2312" w:eastAsia="仿宋_GB2312"/>
          <w:b w:val="0"/>
          <w:sz w:val="32"/>
        </w:rPr>
        <w:t>万元，全年执行数</w:t>
      </w:r>
      <w:r>
        <w:rPr>
          <w:rFonts w:hint="eastAsia" w:ascii="仿宋_GB2312" w:hAnsi="仿宋_GB2312" w:eastAsia="仿宋_GB2312"/>
          <w:b w:val="0"/>
          <w:sz w:val="32"/>
        </w:rPr>
        <w:t>442.26</w:t>
      </w:r>
      <w:r>
        <w:rPr>
          <w:rFonts w:ascii="仿宋_GB2312" w:hAnsi="仿宋_GB2312" w:eastAsia="仿宋_GB2312"/>
          <w:b w:val="0"/>
          <w:sz w:val="32"/>
        </w:rPr>
        <w:t>万元。预算绩效管理取得的成效：一是在依法履职中服务社会大局依法维护社会稳定、依法推进诉源治理、依法优化营商环境、守护群众美好生活，深耕主责主业，在高质效履职中体现公平正义，坚持严惩危害群众生命财产安全犯罪，常态化开展扫黑除恶，依法审结故意杀人、抢劫、强奸、盗窃、诈骗、交通肇事、危险驾驶等案件，切实维护社会稳定，有效维护金融市场秩序，保护弱势群体合法权益，促进家庭文明建设。二是2024年，木垒法院主动接受人大、政协对法院工作的监督，积极邀请人大代表、政协委员视察法院、旁听庭审、观摩执行、座谈研讨，给代表委员增订《人民法院报》，让其熟悉法院工作情况，充分了解审判执行动态和广大干警的无私奉献精神，把监督作为支持和动力，不断提升履职能力。依法接受检察机关法律监督，及时办理检察建议，共同维护司法公正。积极接受舆论和群众监督，回应社会关切热点，召开新闻发布会3场，多次参与新疆新闻广播、昌吉广播电台法治栏目直播，确保法院审判执行活动在监督的环境下有序开展。发现的问题及原因：一是单位内控职责不够细化，项目预算的绩效设定与实际的项目支出存在些许差距，争取在今后工作中准确把握项目资金支出，达到资金的最大效益。二是在资金申请工作中要积极主动联系财政部门确保资金及时落实到位，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加强统筹协调，提高各科室对预算绩效管理工作的认识度和重视度；加强培训力度，用通俗易懂的方式指导绩效目标的设定，确保预算绩效目标管理工作有效推进。二是加强财务管理，严格财务审核。加强单位财务管理，健全单位财务管理制度体系，规范单位财务行为。在费用报账支付时，按照预算规定的费用项目和用途进行资金使用审核、列报支付、财务核算，杜绝超支现象的发生。具体附整体支出绩效自评表，项目支出绩效自评表和评价报告。</w:t>
      </w:r>
    </w:p>
    <w:p w14:paraId="734DF91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36A3CF9">
        <w:tblPrEx>
          <w:tblCellMar>
            <w:top w:w="0" w:type="dxa"/>
            <w:left w:w="108" w:type="dxa"/>
            <w:bottom w:w="0" w:type="dxa"/>
            <w:right w:w="108" w:type="dxa"/>
          </w:tblCellMar>
        </w:tblPrEx>
        <w:tc>
          <w:tcPr>
            <w:tcW w:w="8847" w:type="dxa"/>
            <w:gridSpan w:val="9"/>
            <w:vAlign w:val="center"/>
          </w:tcPr>
          <w:p w14:paraId="1989687D">
            <w:pPr>
              <w:jc w:val="center"/>
            </w:pPr>
            <w:r>
              <w:rPr>
                <w:rFonts w:ascii="宋体" w:hAnsi="宋体" w:eastAsia="宋体"/>
                <w:sz w:val="24"/>
              </w:rPr>
              <w:t>单位整体支出绩效自评表</w:t>
            </w:r>
          </w:p>
        </w:tc>
      </w:tr>
      <w:tr w14:paraId="513E8804">
        <w:tblPrEx>
          <w:tblCellMar>
            <w:top w:w="0" w:type="dxa"/>
            <w:left w:w="108" w:type="dxa"/>
            <w:bottom w:w="0" w:type="dxa"/>
            <w:right w:w="108" w:type="dxa"/>
          </w:tblCellMar>
        </w:tblPrEx>
        <w:tc>
          <w:tcPr>
            <w:tcW w:w="8847" w:type="dxa"/>
            <w:gridSpan w:val="9"/>
            <w:vAlign w:val="center"/>
          </w:tcPr>
          <w:p w14:paraId="7649E485">
            <w:pPr>
              <w:jc w:val="center"/>
            </w:pPr>
            <w:r>
              <w:rPr>
                <w:rFonts w:ascii="宋体" w:hAnsi="宋体" w:eastAsia="宋体"/>
                <w:sz w:val="24"/>
              </w:rPr>
              <w:t>（2024年度）</w:t>
            </w:r>
          </w:p>
        </w:tc>
      </w:tr>
      <w:tr w14:paraId="0073E4C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1683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125400">
            <w:pPr>
              <w:jc w:val="center"/>
            </w:pPr>
            <w:r>
              <w:rPr>
                <w:rFonts w:ascii="宋体" w:hAnsi="宋体" w:eastAsia="宋体"/>
                <w:sz w:val="16"/>
              </w:rPr>
              <w:t>木垒哈萨克自治县人民法院</w:t>
            </w:r>
          </w:p>
        </w:tc>
      </w:tr>
      <w:tr w14:paraId="26892A9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4CDA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7423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B5CD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2E67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0447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728F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C411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95902">
            <w:pPr>
              <w:jc w:val="center"/>
            </w:pPr>
            <w:r>
              <w:rPr>
                <w:rFonts w:ascii="宋体" w:hAnsi="宋体" w:eastAsia="宋体"/>
                <w:sz w:val="16"/>
              </w:rPr>
              <w:t>得分</w:t>
            </w:r>
          </w:p>
        </w:tc>
      </w:tr>
      <w:tr w14:paraId="7E65AB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829D2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194B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96951">
            <w:pPr>
              <w:jc w:val="center"/>
            </w:pPr>
            <w:r>
              <w:rPr>
                <w:rFonts w:ascii="宋体" w:hAnsi="宋体" w:eastAsia="宋体"/>
                <w:sz w:val="16"/>
              </w:rPr>
              <w:t>346.00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E38D4">
            <w:pPr>
              <w:jc w:val="center"/>
            </w:pPr>
            <w:r>
              <w:rPr>
                <w:rFonts w:ascii="宋体" w:hAnsi="宋体" w:eastAsia="宋体"/>
                <w:sz w:val="16"/>
              </w:rPr>
              <w:t>436.26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7733A">
            <w:pPr>
              <w:jc w:val="center"/>
            </w:pPr>
            <w:r>
              <w:rPr>
                <w:rFonts w:ascii="宋体" w:hAnsi="宋体" w:eastAsia="宋体"/>
                <w:sz w:val="16"/>
              </w:rPr>
              <w:t>436.26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803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039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A2409">
            <w:pPr>
              <w:jc w:val="center"/>
            </w:pPr>
            <w:r>
              <w:rPr>
                <w:rFonts w:ascii="宋体" w:hAnsi="宋体" w:eastAsia="宋体"/>
                <w:sz w:val="16"/>
              </w:rPr>
              <w:t>-</w:t>
            </w:r>
          </w:p>
        </w:tc>
      </w:tr>
      <w:tr w14:paraId="2B50E6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E7A6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93133">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BAF3E">
            <w:pPr>
              <w:jc w:val="center"/>
            </w:pPr>
            <w:r>
              <w:rPr>
                <w:rFonts w:ascii="宋体" w:hAnsi="宋体" w:eastAsia="宋体"/>
                <w:sz w:val="16"/>
              </w:rPr>
              <w:t>1,480.86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A7DC1">
            <w:pPr>
              <w:jc w:val="center"/>
            </w:pPr>
            <w:r>
              <w:rPr>
                <w:rFonts w:ascii="宋体" w:hAnsi="宋体" w:eastAsia="宋体"/>
                <w:sz w:val="16"/>
              </w:rPr>
              <w:t>1,521.60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3E4BC">
            <w:pPr>
              <w:jc w:val="center"/>
            </w:pPr>
            <w:r>
              <w:rPr>
                <w:rFonts w:ascii="宋体" w:hAnsi="宋体" w:eastAsia="宋体"/>
                <w:sz w:val="16"/>
              </w:rPr>
              <w:t>1,521.60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BCC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2DE9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35A61">
            <w:pPr>
              <w:jc w:val="center"/>
            </w:pPr>
            <w:r>
              <w:rPr>
                <w:rFonts w:ascii="宋体" w:hAnsi="宋体" w:eastAsia="宋体"/>
                <w:sz w:val="16"/>
              </w:rPr>
              <w:t>-</w:t>
            </w:r>
          </w:p>
        </w:tc>
      </w:tr>
      <w:tr w14:paraId="5721DD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556D0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B6A1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73FBD">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55678">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CF93E">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487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7C2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EA417">
            <w:pPr>
              <w:jc w:val="center"/>
            </w:pPr>
            <w:r>
              <w:rPr>
                <w:rFonts w:ascii="宋体" w:hAnsi="宋体" w:eastAsia="宋体"/>
                <w:sz w:val="16"/>
              </w:rPr>
              <w:t>-</w:t>
            </w:r>
          </w:p>
        </w:tc>
      </w:tr>
      <w:tr w14:paraId="0BE9EA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AE8F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F6AF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D3E0A">
            <w:pPr>
              <w:jc w:val="center"/>
            </w:pPr>
            <w:r>
              <w:rPr>
                <w:rFonts w:ascii="宋体" w:hAnsi="宋体" w:eastAsia="宋体"/>
                <w:sz w:val="16"/>
              </w:rPr>
              <w:t>1,846.86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9C44A">
            <w:pPr>
              <w:jc w:val="center"/>
            </w:pPr>
            <w:r>
              <w:rPr>
                <w:rFonts w:ascii="宋体" w:hAnsi="宋体" w:eastAsia="宋体"/>
                <w:sz w:val="16"/>
              </w:rPr>
              <w:t>1,977.86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D0A6C">
            <w:pPr>
              <w:jc w:val="center"/>
            </w:pPr>
            <w:r>
              <w:rPr>
                <w:rFonts w:ascii="宋体" w:hAnsi="宋体" w:eastAsia="宋体"/>
                <w:sz w:val="16"/>
              </w:rPr>
              <w:t>1,977.86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FE9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C1FA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73187">
            <w:pPr>
              <w:jc w:val="center"/>
            </w:pPr>
            <w:r>
              <w:rPr>
                <w:rFonts w:ascii="宋体" w:hAnsi="宋体" w:eastAsia="宋体"/>
                <w:sz w:val="16"/>
              </w:rPr>
              <w:t>10</w:t>
            </w:r>
          </w:p>
        </w:tc>
      </w:tr>
      <w:tr w14:paraId="4D5C20F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0F03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3BBD2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D972F2">
            <w:pPr>
              <w:jc w:val="center"/>
            </w:pPr>
            <w:r>
              <w:rPr>
                <w:rFonts w:ascii="宋体" w:hAnsi="宋体" w:eastAsia="宋体"/>
                <w:sz w:val="16"/>
              </w:rPr>
              <w:t>实际完成情况</w:t>
            </w:r>
          </w:p>
        </w:tc>
      </w:tr>
      <w:tr w14:paraId="787816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EBB82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A9112B">
            <w:pPr>
              <w:jc w:val="both"/>
            </w:pPr>
            <w:r>
              <w:rPr>
                <w:rFonts w:ascii="宋体" w:hAnsi="宋体" w:eastAsia="宋体"/>
                <w:sz w:val="16"/>
              </w:rPr>
              <w:t>自治县人民法院是国家的审判机关，对县人民代表大会及其常委会负责并报告工作，接受上级人民法院的监督和业务指导，履行审判执行工作职能，依法审判法律规定由</w:t>
            </w:r>
            <w:r>
              <w:rPr>
                <w:rFonts w:hint="eastAsia" w:ascii="宋体" w:hAnsi="宋体"/>
                <w:sz w:val="16"/>
                <w:lang w:eastAsia="zh-CN"/>
              </w:rPr>
              <w:t>木垒哈萨克自治县</w:t>
            </w:r>
            <w:r>
              <w:rPr>
                <w:rFonts w:ascii="宋体" w:hAnsi="宋体" w:eastAsia="宋体"/>
                <w:sz w:val="16"/>
              </w:rPr>
              <w:t>人民法院管辖、上级人民法院指定管辖的刑事、民事、行政等一审案件；强化信访工作，维护当事人合法权益，维护社会公平正义。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D2783B">
            <w:pPr>
              <w:jc w:val="both"/>
            </w:pPr>
            <w:r>
              <w:rPr>
                <w:rFonts w:hint="eastAsia" w:ascii="宋体" w:hAnsi="宋体"/>
                <w:sz w:val="16"/>
                <w:lang w:eastAsia="zh-CN"/>
              </w:rPr>
              <w:t>本单位</w:t>
            </w:r>
            <w:r>
              <w:rPr>
                <w:rFonts w:ascii="宋体" w:hAnsi="宋体" w:eastAsia="宋体"/>
                <w:sz w:val="16"/>
              </w:rPr>
              <w:t>2024年度全年预算数1977.86万元，全年执行数1977.86万元，全年预算执行率为100%。2024年</w:t>
            </w:r>
            <w:r>
              <w:rPr>
                <w:rFonts w:hint="eastAsia" w:ascii="宋体" w:hAnsi="宋体"/>
                <w:sz w:val="16"/>
                <w:lang w:eastAsia="zh-CN"/>
              </w:rPr>
              <w:t>本单位</w:t>
            </w:r>
            <w:r>
              <w:rPr>
                <w:rFonts w:ascii="宋体" w:hAnsi="宋体" w:eastAsia="宋体"/>
                <w:sz w:val="16"/>
              </w:rPr>
              <w:t>完成以下内容：全年共受理3713案件，平均结案时间41.75天，审限期内结案率99.97%，调解率 50.70% ，一审裁判被改判率1.935%，结收比98.27%，执行标的到位率45.83%，着力推进审判体系和审判能力现代化，有效服务和保障县域改革发展稳定各项工作取得新进展，切实提升人民群众安全感，达到了预期效益。</w:t>
            </w:r>
          </w:p>
        </w:tc>
      </w:tr>
      <w:tr w14:paraId="48EB662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CC64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F569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5ACF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D190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5542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674C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2DF0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E653E">
            <w:pPr>
              <w:jc w:val="center"/>
            </w:pPr>
            <w:r>
              <w:rPr>
                <w:rFonts w:ascii="宋体" w:hAnsi="宋体" w:eastAsia="宋体"/>
                <w:sz w:val="16"/>
              </w:rPr>
              <w:t>得分</w:t>
            </w:r>
          </w:p>
        </w:tc>
      </w:tr>
      <w:tr w14:paraId="0E37E0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B477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D7CE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ACF72">
            <w:pPr>
              <w:jc w:val="center"/>
            </w:pPr>
            <w:r>
              <w:rPr>
                <w:rFonts w:ascii="宋体" w:hAnsi="宋体" w:eastAsia="宋体"/>
                <w:sz w:val="16"/>
              </w:rPr>
              <w:t>受理案件数量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CA6A8">
            <w:pPr>
              <w:jc w:val="center"/>
            </w:pPr>
            <w:r>
              <w:rPr>
                <w:rFonts w:ascii="宋体" w:hAnsi="宋体" w:eastAsia="宋体"/>
                <w:sz w:val="16"/>
              </w:rPr>
              <w:t>&gt;=3500件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7DD8A">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A221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1686E">
            <w:pPr>
              <w:jc w:val="center"/>
            </w:pPr>
            <w:r>
              <w:rPr>
                <w:rFonts w:ascii="宋体" w:hAnsi="宋体" w:eastAsia="宋体"/>
                <w:sz w:val="16"/>
              </w:rPr>
              <w:t>3713件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96B94">
            <w:pPr>
              <w:jc w:val="center"/>
            </w:pPr>
            <w:r>
              <w:rPr>
                <w:rFonts w:ascii="宋体" w:hAnsi="宋体" w:eastAsia="宋体"/>
                <w:sz w:val="16"/>
              </w:rPr>
              <w:t>20</w:t>
            </w:r>
          </w:p>
        </w:tc>
      </w:tr>
      <w:tr w14:paraId="30B03A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FC93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D27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4A98F">
            <w:pPr>
              <w:jc w:val="center"/>
            </w:pPr>
            <w:r>
              <w:rPr>
                <w:rFonts w:ascii="宋体" w:hAnsi="宋体" w:eastAsia="宋体"/>
                <w:sz w:val="16"/>
              </w:rPr>
              <w:t>平均结案时间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3AA71">
            <w:pPr>
              <w:jc w:val="center"/>
            </w:pPr>
            <w:r>
              <w:rPr>
                <w:rFonts w:ascii="宋体" w:hAnsi="宋体" w:eastAsia="宋体"/>
                <w:sz w:val="16"/>
              </w:rPr>
              <w:t>&lt;=60天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7A194">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E76B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4AB2B">
            <w:pPr>
              <w:jc w:val="center"/>
            </w:pPr>
            <w:r>
              <w:rPr>
                <w:rFonts w:ascii="宋体" w:hAnsi="宋体" w:eastAsia="宋体"/>
                <w:sz w:val="16"/>
              </w:rPr>
              <w:t>41.75天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88C29">
            <w:pPr>
              <w:jc w:val="center"/>
            </w:pPr>
            <w:r>
              <w:rPr>
                <w:rFonts w:ascii="宋体" w:hAnsi="宋体" w:eastAsia="宋体"/>
                <w:sz w:val="16"/>
              </w:rPr>
              <w:t>20</w:t>
            </w:r>
          </w:p>
        </w:tc>
      </w:tr>
      <w:tr w14:paraId="763F8E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B4571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00543">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ADF96">
            <w:pPr>
              <w:jc w:val="center"/>
            </w:pPr>
            <w:r>
              <w:rPr>
                <w:rFonts w:ascii="宋体" w:hAnsi="宋体" w:eastAsia="宋体"/>
                <w:sz w:val="16"/>
              </w:rPr>
              <w:t>审限期内结案率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C5DE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10C2E">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030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05C23">
            <w:pPr>
              <w:jc w:val="center"/>
            </w:pPr>
            <w:r>
              <w:rPr>
                <w:rFonts w:ascii="宋体" w:hAnsi="宋体" w:eastAsia="宋体"/>
                <w:sz w:val="16"/>
              </w:rPr>
              <w:t>99.28%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85771">
            <w:pPr>
              <w:jc w:val="center"/>
            </w:pPr>
            <w:r>
              <w:rPr>
                <w:rFonts w:ascii="宋体" w:hAnsi="宋体" w:eastAsia="宋体"/>
                <w:sz w:val="16"/>
              </w:rPr>
              <w:t>10</w:t>
            </w:r>
          </w:p>
        </w:tc>
      </w:tr>
      <w:tr w14:paraId="53362B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47178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9A7C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01C30">
            <w:pPr>
              <w:jc w:val="center"/>
            </w:pPr>
            <w:r>
              <w:rPr>
                <w:rFonts w:ascii="宋体" w:hAnsi="宋体" w:eastAsia="宋体"/>
                <w:sz w:val="16"/>
              </w:rPr>
              <w:t>调解率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CF6F4">
            <w:pPr>
              <w:jc w:val="center"/>
            </w:pPr>
            <w:r>
              <w:rPr>
                <w:rFonts w:ascii="宋体" w:hAnsi="宋体" w:eastAsia="宋体"/>
                <w:sz w:val="16"/>
              </w:rPr>
              <w:t>&gt;=30%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363F0">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417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80E66">
            <w:pPr>
              <w:jc w:val="center"/>
            </w:pPr>
            <w:r>
              <w:rPr>
                <w:rFonts w:ascii="宋体" w:hAnsi="宋体" w:eastAsia="宋体"/>
                <w:sz w:val="16"/>
              </w:rPr>
              <w:t>50.7%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AFAA7">
            <w:pPr>
              <w:jc w:val="center"/>
            </w:pPr>
            <w:r>
              <w:rPr>
                <w:rFonts w:ascii="宋体" w:hAnsi="宋体" w:eastAsia="宋体"/>
                <w:sz w:val="16"/>
              </w:rPr>
              <w:t>10</w:t>
            </w:r>
          </w:p>
        </w:tc>
      </w:tr>
      <w:tr w14:paraId="484E98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C524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82E19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75639">
            <w:pPr>
              <w:jc w:val="center"/>
            </w:pPr>
            <w:r>
              <w:rPr>
                <w:rFonts w:ascii="宋体" w:hAnsi="宋体" w:eastAsia="宋体"/>
                <w:sz w:val="16"/>
              </w:rPr>
              <w:t>一审裁判被改判率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66073">
            <w:pPr>
              <w:jc w:val="center"/>
            </w:pPr>
            <w:r>
              <w:rPr>
                <w:rFonts w:ascii="宋体" w:hAnsi="宋体" w:eastAsia="宋体"/>
                <w:sz w:val="16"/>
              </w:rPr>
              <w:t>&lt;=50%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27DBB">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2F3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9BCB4">
            <w:pPr>
              <w:jc w:val="center"/>
            </w:pPr>
            <w:r>
              <w:rPr>
                <w:rFonts w:ascii="宋体" w:hAnsi="宋体" w:eastAsia="宋体"/>
                <w:sz w:val="16"/>
              </w:rPr>
              <w:t>1.935%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AC858">
            <w:pPr>
              <w:jc w:val="center"/>
            </w:pPr>
            <w:r>
              <w:rPr>
                <w:rFonts w:ascii="宋体" w:hAnsi="宋体" w:eastAsia="宋体"/>
                <w:sz w:val="16"/>
              </w:rPr>
              <w:t>10</w:t>
            </w:r>
          </w:p>
        </w:tc>
      </w:tr>
      <w:tr w14:paraId="75810F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98E81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F4A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FC3B4">
            <w:pPr>
              <w:jc w:val="center"/>
            </w:pPr>
            <w:r>
              <w:rPr>
                <w:rFonts w:ascii="宋体" w:hAnsi="宋体" w:eastAsia="宋体"/>
                <w:sz w:val="16"/>
              </w:rPr>
              <w:t>结收比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9920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0119C">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209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FD970">
            <w:pPr>
              <w:jc w:val="center"/>
            </w:pPr>
            <w:r>
              <w:rPr>
                <w:rFonts w:ascii="宋体" w:hAnsi="宋体" w:eastAsia="宋体"/>
                <w:sz w:val="16"/>
              </w:rPr>
              <w:t>98.27%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42A8E">
            <w:pPr>
              <w:jc w:val="center"/>
            </w:pPr>
            <w:r>
              <w:rPr>
                <w:rFonts w:ascii="宋体" w:hAnsi="宋体" w:eastAsia="宋体"/>
                <w:sz w:val="16"/>
              </w:rPr>
              <w:t>10</w:t>
            </w:r>
          </w:p>
        </w:tc>
      </w:tr>
      <w:tr w14:paraId="2EA89F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90629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21A0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55682">
            <w:pPr>
              <w:jc w:val="center"/>
            </w:pPr>
            <w:r>
              <w:rPr>
                <w:rFonts w:ascii="宋体" w:hAnsi="宋体" w:eastAsia="宋体"/>
                <w:sz w:val="16"/>
              </w:rPr>
              <w:t>执行标的到位率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529E5">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3FE80">
            <w:pPr>
              <w:jc w:val="center"/>
            </w:pPr>
            <w:r>
              <w:rPr>
                <w:rFonts w:ascii="宋体" w:hAnsi="宋体" w:eastAsia="宋体"/>
                <w:sz w:val="16"/>
              </w:rPr>
              <w:t>昌吉州中院人民法院考核办法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210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B9F45">
            <w:pPr>
              <w:jc w:val="center"/>
            </w:pPr>
            <w:r>
              <w:rPr>
                <w:rFonts w:ascii="宋体" w:hAnsi="宋体" w:eastAsia="宋体"/>
                <w:sz w:val="16"/>
              </w:rPr>
              <w:t>45.83%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6F52D">
            <w:pPr>
              <w:jc w:val="center"/>
            </w:pPr>
            <w:r>
              <w:rPr>
                <w:rFonts w:ascii="宋体" w:hAnsi="宋体" w:eastAsia="宋体"/>
                <w:sz w:val="16"/>
              </w:rPr>
              <w:t>5.73</w:t>
            </w:r>
          </w:p>
        </w:tc>
      </w:tr>
    </w:tbl>
    <w:p w14:paraId="58C913B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7685AC59">
        <w:tblPrEx>
          <w:tblCellMar>
            <w:top w:w="0" w:type="dxa"/>
            <w:left w:w="108" w:type="dxa"/>
            <w:bottom w:w="0" w:type="dxa"/>
            <w:right w:w="108" w:type="dxa"/>
          </w:tblCellMar>
        </w:tblPrEx>
        <w:tc>
          <w:tcPr>
            <w:tcW w:w="8848" w:type="dxa"/>
            <w:gridSpan w:val="14"/>
            <w:vAlign w:val="center"/>
          </w:tcPr>
          <w:p w14:paraId="0E20BAD4">
            <w:pPr>
              <w:jc w:val="center"/>
            </w:pPr>
            <w:r>
              <w:rPr>
                <w:rFonts w:ascii="宋体" w:hAnsi="宋体" w:eastAsia="宋体"/>
                <w:sz w:val="24"/>
              </w:rPr>
              <w:t>项目支出绩效自评表</w:t>
            </w:r>
          </w:p>
        </w:tc>
      </w:tr>
      <w:tr w14:paraId="5245780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2A0E56">
            <w:pPr>
              <w:jc w:val="center"/>
            </w:pPr>
            <w:r>
              <w:rPr>
                <w:rFonts w:ascii="宋体" w:hAnsi="宋体" w:eastAsia="宋体"/>
                <w:sz w:val="24"/>
              </w:rPr>
              <w:t>(2024年度)</w:t>
            </w:r>
          </w:p>
        </w:tc>
      </w:tr>
      <w:tr w14:paraId="3B7777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DE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6861DA">
            <w:pPr>
              <w:jc w:val="center"/>
            </w:pPr>
            <w:r>
              <w:rPr>
                <w:rFonts w:ascii="宋体" w:hAnsi="宋体" w:eastAsia="宋体"/>
                <w:sz w:val="16"/>
              </w:rPr>
              <w:t>机关运行补助（自有资金）</w:t>
            </w:r>
          </w:p>
        </w:tc>
      </w:tr>
      <w:tr w14:paraId="3EFDAF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F7D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99A00C">
            <w:pPr>
              <w:jc w:val="center"/>
            </w:pPr>
            <w:r>
              <w:rPr>
                <w:rFonts w:hint="eastAsia" w:ascii="宋体" w:hAnsi="宋体"/>
                <w:sz w:val="16"/>
                <w:lang w:eastAsia="zh-CN"/>
              </w:rPr>
              <w:t>木垒哈萨克自治县</w:t>
            </w:r>
            <w:r>
              <w:rPr>
                <w:rFonts w:ascii="宋体" w:hAnsi="宋体" w:eastAsia="宋体"/>
                <w:sz w:val="16"/>
              </w:rPr>
              <w:t>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61CB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A46FA0">
            <w:pPr>
              <w:jc w:val="center"/>
            </w:pPr>
            <w:r>
              <w:rPr>
                <w:rFonts w:hint="eastAsia" w:ascii="宋体" w:hAnsi="宋体"/>
                <w:sz w:val="16"/>
                <w:lang w:eastAsia="zh-CN"/>
              </w:rPr>
              <w:t>木垒哈萨克自治县</w:t>
            </w:r>
            <w:r>
              <w:rPr>
                <w:rFonts w:ascii="宋体" w:hAnsi="宋体" w:eastAsia="宋体"/>
                <w:sz w:val="16"/>
              </w:rPr>
              <w:t>人民法院</w:t>
            </w:r>
          </w:p>
        </w:tc>
      </w:tr>
      <w:tr w14:paraId="475A0C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E1A9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A0F1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2A2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100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77BA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D447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BB0E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8FB55">
            <w:pPr>
              <w:jc w:val="center"/>
            </w:pPr>
            <w:r>
              <w:rPr>
                <w:rFonts w:ascii="宋体" w:hAnsi="宋体" w:eastAsia="宋体"/>
                <w:sz w:val="16"/>
              </w:rPr>
              <w:t>得分</w:t>
            </w:r>
          </w:p>
        </w:tc>
      </w:tr>
      <w:tr w14:paraId="768776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267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1A6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56DF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991C0">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67041">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AC3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7D5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4C3F">
            <w:pPr>
              <w:jc w:val="center"/>
            </w:pPr>
            <w:r>
              <w:rPr>
                <w:rFonts w:ascii="宋体" w:hAnsi="宋体" w:eastAsia="宋体"/>
                <w:sz w:val="16"/>
              </w:rPr>
              <w:t>10.00</w:t>
            </w:r>
          </w:p>
        </w:tc>
      </w:tr>
      <w:tr w14:paraId="5245D3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A7C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CA2E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A31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3310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930D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73B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054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1F95">
            <w:pPr>
              <w:jc w:val="center"/>
            </w:pPr>
            <w:r>
              <w:rPr>
                <w:rFonts w:ascii="宋体" w:hAnsi="宋体" w:eastAsia="宋体"/>
                <w:sz w:val="16"/>
              </w:rPr>
              <w:t>—</w:t>
            </w:r>
          </w:p>
        </w:tc>
      </w:tr>
      <w:tr w14:paraId="78049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4EA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1C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BFF5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0CD8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F56B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B79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A01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B508">
            <w:pPr>
              <w:jc w:val="center"/>
            </w:pPr>
            <w:r>
              <w:rPr>
                <w:rFonts w:ascii="宋体" w:hAnsi="宋体" w:eastAsia="宋体"/>
                <w:sz w:val="16"/>
              </w:rPr>
              <w:t>—</w:t>
            </w:r>
          </w:p>
        </w:tc>
      </w:tr>
      <w:tr w14:paraId="1B3B13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2C3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F1CA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A34A08">
            <w:pPr>
              <w:jc w:val="center"/>
            </w:pPr>
            <w:r>
              <w:rPr>
                <w:rFonts w:ascii="宋体" w:hAnsi="宋体" w:eastAsia="宋体"/>
                <w:sz w:val="16"/>
              </w:rPr>
              <w:t>实际完成情况</w:t>
            </w:r>
          </w:p>
        </w:tc>
      </w:tr>
      <w:tr w14:paraId="7ED30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F8FE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2D70EC">
            <w:pPr>
              <w:jc w:val="both"/>
            </w:pPr>
            <w:r>
              <w:rPr>
                <w:rFonts w:ascii="宋体" w:hAnsi="宋体" w:eastAsia="宋体"/>
                <w:sz w:val="16"/>
              </w:rPr>
              <w:t>保障西吉尔法庭正常运转支出，依法审理民事案件、依法审理刑事案件，开展各类司法活动，让更多群众了解党的政策，提高办案水平，单位大楼的水电暖及维护维修保障不少于5次，审判案件结案率超过90%，公用经费及时支付，单位大楼的水电暖及维护维修保障不超过8万元，维护社会稳定与长治久安，案结事了，服务对象总体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ADFF90">
            <w:pPr>
              <w:jc w:val="both"/>
            </w:pPr>
            <w:r>
              <w:rPr>
                <w:rFonts w:hint="eastAsia" w:ascii="宋体" w:hAnsi="宋体"/>
                <w:sz w:val="16"/>
                <w:lang w:eastAsia="zh-CN"/>
              </w:rPr>
              <w:t>截至</w:t>
            </w:r>
            <w:r>
              <w:rPr>
                <w:rFonts w:ascii="宋体" w:hAnsi="宋体" w:eastAsia="宋体"/>
                <w:sz w:val="16"/>
              </w:rPr>
              <w:t>2024年12月31日，保障西吉尔法庭正常运转支出，依法审理民事案件、依法审理刑事案件，开展各类司法活动，让更多群众了解党的政策，提高办案水平，单位大楼的水电暖及维护维修保障3次，文化建设制作5次，审判案件结案率91.4%，公用经费及时支付，单位大楼的水电暖及维护维修保障8万元，为民办实事8万元，维护社会稳定与长治久安，案结事了结案率91.4%，服务对象总体满意度96.67%。</w:t>
            </w:r>
          </w:p>
        </w:tc>
      </w:tr>
      <w:tr w14:paraId="306AB9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023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AA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E3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77F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71E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4877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847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AA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49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D7EE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CB2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A36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0C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7B8C">
            <w:pPr>
              <w:jc w:val="center"/>
            </w:pPr>
            <w:r>
              <w:rPr>
                <w:rFonts w:ascii="宋体" w:hAnsi="宋体" w:eastAsia="宋体"/>
                <w:sz w:val="16"/>
              </w:rPr>
              <w:t>偏差原因分析及改进措施</w:t>
            </w:r>
          </w:p>
        </w:tc>
      </w:tr>
      <w:tr w14:paraId="256659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EE624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25DE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7BA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F540C">
            <w:pPr>
              <w:jc w:val="center"/>
            </w:pPr>
            <w:r>
              <w:rPr>
                <w:rFonts w:ascii="宋体" w:hAnsi="宋体" w:eastAsia="宋体"/>
                <w:sz w:val="16"/>
              </w:rPr>
              <w:t>西吉尔法庭维修维护次数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6E9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3788">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198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84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DF0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23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73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29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E7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76507">
            <w:pPr>
              <w:jc w:val="center"/>
            </w:pPr>
          </w:p>
        </w:tc>
      </w:tr>
      <w:tr w14:paraId="23223F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C8E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4B8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B38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B6C7">
            <w:pPr>
              <w:jc w:val="center"/>
            </w:pPr>
            <w:r>
              <w:rPr>
                <w:rFonts w:ascii="宋体" w:hAnsi="宋体" w:eastAsia="宋体"/>
                <w:sz w:val="16"/>
              </w:rPr>
              <w:t>文化建设宣传品制作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74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AD7FD">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D5067">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B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93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ED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914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CF9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809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FF6F">
            <w:pPr>
              <w:jc w:val="center"/>
            </w:pPr>
          </w:p>
        </w:tc>
      </w:tr>
      <w:tr w14:paraId="758A23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8F3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CDB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9BE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85A0">
            <w:pPr>
              <w:jc w:val="center"/>
            </w:pPr>
            <w:r>
              <w:rPr>
                <w:rFonts w:ascii="宋体" w:hAnsi="宋体" w:eastAsia="宋体"/>
                <w:sz w:val="16"/>
              </w:rPr>
              <w:t>审判案件结案率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88A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B5B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F2DF">
            <w:pPr>
              <w:jc w:val="center"/>
            </w:pPr>
            <w:r>
              <w:rPr>
                <w:rFonts w:ascii="宋体" w:hAnsi="宋体" w:eastAsia="宋体"/>
                <w:sz w:val="16"/>
              </w:rPr>
              <w:t>=91.4%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947C">
            <w:pPr>
              <w:jc w:val="center"/>
            </w:pPr>
            <w:r>
              <w:rPr>
                <w:rFonts w:ascii="宋体" w:hAnsi="宋体" w:eastAsia="宋体"/>
                <w:sz w:val="16"/>
              </w:rPr>
              <w:t>101.55%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4786">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BA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5F3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9C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36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F4C4">
            <w:pPr>
              <w:jc w:val="center"/>
            </w:pPr>
            <w:r>
              <w:rPr>
                <w:rFonts w:ascii="宋体" w:hAnsi="宋体" w:eastAsia="宋体"/>
                <w:sz w:val="16"/>
              </w:rPr>
              <w:t>年初设定目标较低，</w:t>
            </w:r>
            <w:r>
              <w:rPr>
                <w:rFonts w:hint="eastAsia" w:ascii="宋体" w:hAnsi="宋体"/>
                <w:sz w:val="16"/>
                <w:lang w:eastAsia="zh-CN"/>
              </w:rPr>
              <w:t>年底</w:t>
            </w:r>
            <w:r>
              <w:rPr>
                <w:rFonts w:ascii="宋体" w:hAnsi="宋体" w:eastAsia="宋体"/>
                <w:sz w:val="16"/>
              </w:rPr>
              <w:t>结案情况较好，导致偏差产生</w:t>
            </w:r>
          </w:p>
        </w:tc>
      </w:tr>
      <w:tr w14:paraId="1033B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118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B16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C75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A300">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12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9C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0BB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7263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6B3F7">
            <w:pPr>
              <w:jc w:val="center"/>
            </w:pPr>
            <w:r>
              <w:rPr>
                <w:rFonts w:ascii="宋体" w:hAnsi="宋体" w:eastAsia="宋体"/>
                <w:sz w:val="16"/>
              </w:rPr>
              <w:t>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7FA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6A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33D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D2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FB16">
            <w:pPr>
              <w:jc w:val="center"/>
            </w:pPr>
            <w:r>
              <w:rPr>
                <w:rFonts w:ascii="宋体" w:hAnsi="宋体" w:eastAsia="宋体"/>
                <w:sz w:val="16"/>
              </w:rPr>
              <w:t>年初设定目标时预算资金不能全部支付，年底资金全部支付完毕，导致偏差产生</w:t>
            </w:r>
          </w:p>
        </w:tc>
      </w:tr>
      <w:tr w14:paraId="5E17D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1D6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F3560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0472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290A">
            <w:pPr>
              <w:jc w:val="center"/>
            </w:pPr>
            <w:r>
              <w:rPr>
                <w:rFonts w:ascii="宋体" w:hAnsi="宋体" w:eastAsia="宋体"/>
                <w:sz w:val="16"/>
              </w:rPr>
              <w:t>法庭各项相关支出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7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A0BA">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35B2">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F2C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14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FB9A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4F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98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40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0E8C1">
            <w:pPr>
              <w:jc w:val="center"/>
            </w:pPr>
          </w:p>
        </w:tc>
      </w:tr>
      <w:tr w14:paraId="00116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816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535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877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DBFD">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C3D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E6F5">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CCAC5">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33D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41B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919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7A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D9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928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BBB75">
            <w:pPr>
              <w:jc w:val="center"/>
            </w:pPr>
          </w:p>
        </w:tc>
      </w:tr>
      <w:tr w14:paraId="4E4E4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97B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5B2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0C6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E098">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D9B9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E5C5">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6C2D0">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42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CC5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24D6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6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4F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8C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7CDA8">
            <w:pPr>
              <w:jc w:val="center"/>
            </w:pPr>
          </w:p>
        </w:tc>
      </w:tr>
      <w:tr w14:paraId="14401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34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6D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BC02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7CFC">
            <w:pPr>
              <w:jc w:val="center"/>
            </w:pPr>
            <w:r>
              <w:rPr>
                <w:rFonts w:ascii="宋体" w:hAnsi="宋体" w:eastAsia="宋体"/>
                <w:sz w:val="16"/>
              </w:rPr>
              <w:t>案结事了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2BE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CE07">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EBBD">
            <w:pPr>
              <w:jc w:val="center"/>
            </w:pPr>
            <w:r>
              <w:rPr>
                <w:rFonts w:ascii="宋体" w:hAnsi="宋体" w:eastAsia="宋体"/>
                <w:sz w:val="16"/>
              </w:rPr>
              <w:t>=91.4%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32EFB">
            <w:pPr>
              <w:jc w:val="center"/>
            </w:pPr>
            <w:r>
              <w:rPr>
                <w:rFonts w:ascii="宋体" w:hAnsi="宋体" w:eastAsia="宋体"/>
                <w:sz w:val="16"/>
              </w:rPr>
              <w:t>107.53%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ECDD">
            <w:pPr>
              <w:jc w:val="center"/>
            </w:pPr>
            <w:r>
              <w:rPr>
                <w:rFonts w:ascii="宋体" w:hAnsi="宋体" w:eastAsia="宋体"/>
                <w:sz w:val="16"/>
              </w:rPr>
              <w:t>18.49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37C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9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37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0F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420F">
            <w:pPr>
              <w:jc w:val="center"/>
            </w:pPr>
            <w:r>
              <w:rPr>
                <w:rFonts w:ascii="宋体" w:hAnsi="宋体" w:eastAsia="宋体"/>
                <w:sz w:val="16"/>
              </w:rPr>
              <w:t>年初结案率按照上年结案率设定，今年结案率超过去年，导致偏差产生</w:t>
            </w:r>
          </w:p>
        </w:tc>
      </w:tr>
      <w:tr w14:paraId="2E288A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B89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75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F2C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31CD0">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67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DAA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8E713">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BDE8">
            <w:pPr>
              <w:jc w:val="center"/>
            </w:pPr>
            <w:r>
              <w:rPr>
                <w:rFonts w:ascii="宋体" w:hAnsi="宋体" w:eastAsia="宋体"/>
                <w:sz w:val="16"/>
              </w:rPr>
              <w:t>101.76%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32E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54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B8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135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BA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4606D">
            <w:pPr>
              <w:jc w:val="center"/>
            </w:pPr>
            <w:r>
              <w:rPr>
                <w:rFonts w:ascii="宋体" w:hAnsi="宋体" w:eastAsia="宋体"/>
                <w:sz w:val="16"/>
              </w:rPr>
              <w:t>年初满意度指标根据上年度完成值设定，本年度满意度超过预期值，导致偏差产生</w:t>
            </w:r>
          </w:p>
        </w:tc>
      </w:tr>
      <w:tr w14:paraId="6C1339C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895D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5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5C2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57F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F15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9985">
            <w:pPr>
              <w:jc w:val="center"/>
            </w:pPr>
            <w:r>
              <w:rPr>
                <w:rFonts w:ascii="宋体" w:hAnsi="宋体" w:eastAsia="宋体"/>
                <w:sz w:val="16"/>
              </w:rPr>
              <w:t>97.45分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5CA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C90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511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139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E5EEDB"/>
        </w:tc>
      </w:tr>
    </w:tbl>
    <w:p w14:paraId="552BF4EB">
      <w:r>
        <w:br w:type="page"/>
      </w:r>
    </w:p>
    <w:p w14:paraId="55357059">
      <w:pPr>
        <w:spacing w:line="640" w:lineRule="exact"/>
        <w:ind w:firstLine="640"/>
        <w:jc w:val="both"/>
        <w:outlineLvl w:val="2"/>
      </w:pPr>
      <w:r>
        <w:rPr>
          <w:rFonts w:ascii="黑体" w:hAnsi="黑体" w:eastAsia="黑体"/>
          <w:sz w:val="32"/>
        </w:rPr>
        <w:t>十二、其他需说明的事项</w:t>
      </w:r>
    </w:p>
    <w:p w14:paraId="118CA5E4">
      <w:pPr>
        <w:spacing w:line="580" w:lineRule="exact"/>
        <w:ind w:firstLine="640"/>
        <w:jc w:val="both"/>
      </w:pPr>
      <w:r>
        <w:rPr>
          <w:rFonts w:ascii="仿宋_GB2312" w:hAnsi="仿宋_GB2312" w:eastAsia="仿宋_GB2312"/>
          <w:b w:val="0"/>
          <w:sz w:val="32"/>
        </w:rPr>
        <w:t>本年本单位SM项目1个，全年预算数416.26万元，全年执行数416.26万元。</w:t>
      </w:r>
    </w:p>
    <w:p w14:paraId="3C9406A2">
      <w:r>
        <w:br w:type="page"/>
      </w:r>
    </w:p>
    <w:p w14:paraId="08EE0F6A">
      <w:pPr>
        <w:spacing w:line="240" w:lineRule="auto"/>
        <w:jc w:val="center"/>
        <w:outlineLvl w:val="1"/>
      </w:pPr>
      <w:r>
        <w:rPr>
          <w:rFonts w:ascii="黑体" w:hAnsi="黑体" w:eastAsia="黑体"/>
          <w:sz w:val="32"/>
        </w:rPr>
        <w:t>第三部分 专业名词解释</w:t>
      </w:r>
    </w:p>
    <w:p w14:paraId="646D72C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525037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711E1C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468051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0F461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73E778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6C2C70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5D9B84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85AADE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B1A93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204ED3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063C42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8846A7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52D986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D776003">
      <w:r>
        <w:br w:type="page"/>
      </w:r>
    </w:p>
    <w:p w14:paraId="3BAF8E1F">
      <w:pPr>
        <w:spacing w:line="240" w:lineRule="auto"/>
        <w:jc w:val="center"/>
        <w:outlineLvl w:val="1"/>
      </w:pPr>
      <w:r>
        <w:rPr>
          <w:rFonts w:ascii="黑体" w:hAnsi="黑体" w:eastAsia="黑体"/>
          <w:sz w:val="32"/>
        </w:rPr>
        <w:t>第四部分 部门决算报表（见附表）</w:t>
      </w:r>
    </w:p>
    <w:p w14:paraId="53F65D7B">
      <w:pPr>
        <w:spacing w:line="240" w:lineRule="auto"/>
        <w:ind w:firstLine="640"/>
        <w:jc w:val="both"/>
      </w:pPr>
      <w:r>
        <w:rPr>
          <w:rFonts w:ascii="仿宋_GB2312" w:hAnsi="仿宋_GB2312" w:eastAsia="仿宋_GB2312"/>
          <w:b w:val="0"/>
          <w:sz w:val="32"/>
        </w:rPr>
        <w:t>一、《收入支出决算总表》</w:t>
      </w:r>
    </w:p>
    <w:p w14:paraId="759DB1F9">
      <w:pPr>
        <w:spacing w:line="240" w:lineRule="auto"/>
        <w:ind w:firstLine="640"/>
        <w:jc w:val="both"/>
      </w:pPr>
      <w:r>
        <w:rPr>
          <w:rFonts w:ascii="仿宋_GB2312" w:hAnsi="仿宋_GB2312" w:eastAsia="仿宋_GB2312"/>
          <w:b w:val="0"/>
          <w:sz w:val="32"/>
        </w:rPr>
        <w:t>二、《收入决算表》</w:t>
      </w:r>
    </w:p>
    <w:p w14:paraId="2D4FE1CD">
      <w:pPr>
        <w:spacing w:line="240" w:lineRule="auto"/>
        <w:ind w:firstLine="640"/>
        <w:jc w:val="both"/>
      </w:pPr>
      <w:r>
        <w:rPr>
          <w:rFonts w:ascii="仿宋_GB2312" w:hAnsi="仿宋_GB2312" w:eastAsia="仿宋_GB2312"/>
          <w:b w:val="0"/>
          <w:sz w:val="32"/>
        </w:rPr>
        <w:t>三、《支出决算表》</w:t>
      </w:r>
    </w:p>
    <w:p w14:paraId="68225234">
      <w:pPr>
        <w:spacing w:line="240" w:lineRule="auto"/>
        <w:ind w:firstLine="640"/>
        <w:jc w:val="both"/>
      </w:pPr>
      <w:r>
        <w:rPr>
          <w:rFonts w:ascii="仿宋_GB2312" w:hAnsi="仿宋_GB2312" w:eastAsia="仿宋_GB2312"/>
          <w:b w:val="0"/>
          <w:sz w:val="32"/>
        </w:rPr>
        <w:t>四、《财政拨款收入支出决算总表》</w:t>
      </w:r>
    </w:p>
    <w:p w14:paraId="7768E075">
      <w:pPr>
        <w:spacing w:line="240" w:lineRule="auto"/>
        <w:ind w:firstLine="640"/>
        <w:jc w:val="both"/>
      </w:pPr>
      <w:r>
        <w:rPr>
          <w:rFonts w:ascii="仿宋_GB2312" w:hAnsi="仿宋_GB2312" w:eastAsia="仿宋_GB2312"/>
          <w:b w:val="0"/>
          <w:sz w:val="32"/>
        </w:rPr>
        <w:t>五、《一般公共预算财政拨款支出决算表》</w:t>
      </w:r>
    </w:p>
    <w:p w14:paraId="71D16DF7">
      <w:pPr>
        <w:spacing w:line="240" w:lineRule="auto"/>
        <w:ind w:firstLine="640"/>
        <w:jc w:val="both"/>
      </w:pPr>
      <w:r>
        <w:rPr>
          <w:rFonts w:ascii="仿宋_GB2312" w:hAnsi="仿宋_GB2312" w:eastAsia="仿宋_GB2312"/>
          <w:b w:val="0"/>
          <w:sz w:val="32"/>
        </w:rPr>
        <w:t>六、《一般公共预算财政拨款基本支出决算表》</w:t>
      </w:r>
    </w:p>
    <w:p w14:paraId="0041C3B0">
      <w:pPr>
        <w:spacing w:line="240" w:lineRule="auto"/>
        <w:ind w:firstLine="640"/>
        <w:jc w:val="both"/>
      </w:pPr>
      <w:r>
        <w:rPr>
          <w:rFonts w:ascii="仿宋_GB2312" w:hAnsi="仿宋_GB2312" w:eastAsia="仿宋_GB2312"/>
          <w:b w:val="0"/>
          <w:sz w:val="32"/>
        </w:rPr>
        <w:t>七、《政府性基金预算财政拨款收入支出决算表》</w:t>
      </w:r>
    </w:p>
    <w:p w14:paraId="0A67D9DC">
      <w:pPr>
        <w:spacing w:line="240" w:lineRule="auto"/>
        <w:ind w:firstLine="640"/>
        <w:jc w:val="both"/>
      </w:pPr>
      <w:r>
        <w:rPr>
          <w:rFonts w:ascii="仿宋_GB2312" w:hAnsi="仿宋_GB2312" w:eastAsia="仿宋_GB2312"/>
          <w:b w:val="0"/>
          <w:sz w:val="32"/>
        </w:rPr>
        <w:t>八、《国有资本经营预算财政拨款收入支出决算表》</w:t>
      </w:r>
    </w:p>
    <w:p w14:paraId="6D273219">
      <w:pPr>
        <w:spacing w:line="240" w:lineRule="auto"/>
        <w:ind w:firstLine="640"/>
        <w:jc w:val="both"/>
      </w:pPr>
      <w:r>
        <w:rPr>
          <w:rFonts w:ascii="仿宋_GB2312" w:hAnsi="仿宋_GB2312" w:eastAsia="仿宋_GB2312"/>
          <w:b w:val="0"/>
          <w:sz w:val="32"/>
        </w:rPr>
        <w:t>九、《财政拨款“三公”经费支出决算表》</w:t>
      </w:r>
    </w:p>
    <w:p w14:paraId="3CFCFE69">
      <w:pPr>
        <w:spacing w:line="240" w:lineRule="auto"/>
        <w:ind w:firstLine="640"/>
        <w:jc w:val="both"/>
      </w:pPr>
    </w:p>
    <w:p w14:paraId="4514916A">
      <w:pPr>
        <w:spacing w:line="240" w:lineRule="auto"/>
        <w:ind w:firstLine="640"/>
        <w:jc w:val="both"/>
      </w:pPr>
    </w:p>
    <w:p w14:paraId="179AFFA0">
      <w:pPr>
        <w:spacing w:line="240" w:lineRule="auto"/>
        <w:ind w:firstLine="640"/>
        <w:jc w:val="both"/>
      </w:pPr>
    </w:p>
    <w:p w14:paraId="684266D6">
      <w:pPr>
        <w:spacing w:line="240" w:lineRule="auto"/>
        <w:ind w:firstLine="640"/>
        <w:jc w:val="both"/>
      </w:pPr>
    </w:p>
    <w:p w14:paraId="5550A8F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4D7A5-7C3A-4893-A79D-F099281964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787D34B-3AD4-4991-A052-59047EA8438B}"/>
  </w:font>
  <w:font w:name="仿宋_GB2312">
    <w:panose1 w:val="02010609030101010101"/>
    <w:charset w:val="86"/>
    <w:family w:val="modern"/>
    <w:pitch w:val="default"/>
    <w:sig w:usb0="00000001" w:usb1="080E0000" w:usb2="00000000" w:usb3="00000000" w:csb0="00040000" w:csb1="00000000"/>
    <w:embedRegular r:id="rId3" w:fontKey="{E9199933-B459-45C4-A1AD-A6A2236CD6CC}"/>
  </w:font>
  <w:font w:name="楷体_GB2312">
    <w:panose1 w:val="02010609030101010101"/>
    <w:charset w:val="86"/>
    <w:family w:val="auto"/>
    <w:pitch w:val="default"/>
    <w:sig w:usb0="00000001" w:usb1="080E0000" w:usb2="00000000" w:usb3="00000000" w:csb0="00040000" w:csb1="00000000"/>
    <w:embedRegular r:id="rId4" w:fontKey="{AD7BC82C-45A8-4242-9689-1084A5E25E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95441A"/>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BB349F8"/>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6142</Words>
  <Characters>7061</Characters>
  <Lines>0</Lines>
  <Paragraphs>0</Paragraphs>
  <TotalTime>6</TotalTime>
  <ScaleCrop>false</ScaleCrop>
  <LinksUpToDate>false</LinksUpToDate>
  <CharactersWithSpaces>7071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