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五家渠军粮供应站2024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A286EAB">
      <w:r>
        <w:br w:type="page"/>
      </w:r>
    </w:p>
    <w:p w14:paraId="7689B68F">
      <w:pPr>
        <w:spacing w:line="640" w:lineRule="exact"/>
        <w:jc w:val="center"/>
        <w:outlineLvl w:val="1"/>
      </w:pPr>
      <w:r>
        <w:rPr>
          <w:rFonts w:ascii="黑体" w:hAnsi="黑体" w:eastAsia="黑体"/>
          <w:sz w:val="32"/>
        </w:rPr>
        <w:t>第一部分 单位概况</w:t>
      </w:r>
    </w:p>
    <w:p w14:paraId="14C15D01">
      <w:pPr>
        <w:spacing w:line="640" w:lineRule="exact"/>
        <w:ind w:firstLine="640"/>
        <w:jc w:val="both"/>
        <w:outlineLvl w:val="2"/>
      </w:pPr>
      <w:r>
        <w:rPr>
          <w:rFonts w:ascii="黑体" w:hAnsi="黑体" w:eastAsia="黑体"/>
          <w:sz w:val="32"/>
        </w:rPr>
        <w:t>一、主要职能</w:t>
      </w:r>
    </w:p>
    <w:p w14:paraId="0358DD62">
      <w:pPr>
        <w:spacing w:line="580" w:lineRule="exact"/>
        <w:ind w:firstLine="640"/>
        <w:jc w:val="both"/>
      </w:pPr>
      <w:r>
        <w:rPr>
          <w:rFonts w:ascii="仿宋_GB2312" w:hAnsi="仿宋_GB2312" w:eastAsia="仿宋_GB2312"/>
          <w:sz w:val="32"/>
        </w:rPr>
        <w:t>按照国家、自治区军粮供应政策，统一筹措、协调辖区军需粮源，确保部队军粮供应；完成上级业务部门和主管单位下达的各项工作。按照“以制度规范内部管理、以管理提升军供效率”的原则，结合本站实际，建立健全各项内部管理制度，使军粮供应工作规范化、制度化。</w:t>
      </w:r>
    </w:p>
    <w:p w14:paraId="4ADDB040">
      <w:pPr>
        <w:spacing w:line="640" w:lineRule="exact"/>
        <w:ind w:firstLine="640"/>
        <w:jc w:val="both"/>
        <w:outlineLvl w:val="2"/>
      </w:pPr>
      <w:r>
        <w:rPr>
          <w:rFonts w:ascii="黑体" w:hAnsi="黑体" w:eastAsia="黑体"/>
          <w:sz w:val="32"/>
        </w:rPr>
        <w:t>二、机构设置及人员情况</w:t>
      </w:r>
    </w:p>
    <w:p w14:paraId="0CE168E6">
      <w:pPr>
        <w:spacing w:line="580" w:lineRule="exact"/>
        <w:ind w:firstLine="640"/>
        <w:jc w:val="both"/>
      </w:pPr>
      <w:r>
        <w:rPr>
          <w:rFonts w:ascii="仿宋_GB2312" w:hAnsi="仿宋_GB2312" w:eastAsia="仿宋_GB2312"/>
          <w:sz w:val="32"/>
        </w:rPr>
        <w:t>五家渠军粮供应站2024年度，实有人数8人，其中：在职人员4人，减少1人；离休人员0人，增加0人；退休人员4人,增加0人。</w:t>
      </w:r>
    </w:p>
    <w:p w14:paraId="707D0049">
      <w:pPr>
        <w:spacing w:line="580" w:lineRule="exact"/>
        <w:ind w:firstLine="640"/>
        <w:jc w:val="both"/>
      </w:pPr>
      <w:r>
        <w:rPr>
          <w:rFonts w:ascii="仿宋_GB2312" w:hAnsi="仿宋_GB2312" w:eastAsia="仿宋_GB2312"/>
          <w:sz w:val="32"/>
        </w:rPr>
        <w:t>五家渠军粮供应站无下属预算单位，下设1个科室，分别是：办公室。</w:t>
      </w:r>
    </w:p>
    <w:p w14:paraId="38462C44">
      <w:r>
        <w:br w:type="page"/>
      </w:r>
    </w:p>
    <w:p w14:paraId="315CFA60">
      <w:pPr>
        <w:spacing w:line="240" w:lineRule="auto"/>
        <w:jc w:val="center"/>
        <w:outlineLvl w:val="1"/>
      </w:pPr>
      <w:r>
        <w:rPr>
          <w:rFonts w:ascii="黑体" w:hAnsi="黑体" w:eastAsia="黑体"/>
          <w:sz w:val="32"/>
        </w:rPr>
        <w:t>第二部分 部门决算情况说明</w:t>
      </w:r>
    </w:p>
    <w:p w14:paraId="2920BA95">
      <w:pPr>
        <w:spacing w:line="640" w:lineRule="exact"/>
        <w:ind w:firstLine="640"/>
        <w:jc w:val="both"/>
        <w:outlineLvl w:val="2"/>
      </w:pPr>
      <w:r>
        <w:rPr>
          <w:rFonts w:ascii="黑体" w:hAnsi="黑体" w:eastAsia="黑体"/>
          <w:sz w:val="32"/>
        </w:rPr>
        <w:t>一、收入支出决算总体情况说明</w:t>
      </w:r>
    </w:p>
    <w:p w14:paraId="18FE232F">
      <w:pPr>
        <w:spacing w:line="580" w:lineRule="exact"/>
        <w:ind w:firstLine="640"/>
        <w:jc w:val="both"/>
      </w:pPr>
      <w:r>
        <w:rPr>
          <w:rFonts w:ascii="仿宋_GB2312" w:hAnsi="仿宋_GB2312" w:eastAsia="仿宋_GB2312"/>
          <w:b/>
          <w:sz w:val="32"/>
        </w:rPr>
        <w:t>2024年度收入总计93.12万元，</w:t>
      </w:r>
      <w:r>
        <w:rPr>
          <w:rFonts w:ascii="仿宋_GB2312" w:hAnsi="仿宋_GB2312" w:eastAsia="仿宋_GB2312"/>
          <w:b w:val="0"/>
          <w:sz w:val="32"/>
        </w:rPr>
        <w:t>其中：本年收入合计93.12万元，使用非财政拨款结余（含专用结余）0.00万元，年初结转和结余0.00万元。</w:t>
      </w:r>
    </w:p>
    <w:p w14:paraId="32CE2AB7">
      <w:pPr>
        <w:spacing w:line="580" w:lineRule="exact"/>
        <w:ind w:firstLine="640"/>
        <w:jc w:val="both"/>
      </w:pPr>
      <w:r>
        <w:rPr>
          <w:rFonts w:ascii="仿宋_GB2312" w:hAnsi="仿宋_GB2312" w:eastAsia="仿宋_GB2312"/>
          <w:b/>
          <w:sz w:val="32"/>
        </w:rPr>
        <w:t>2024年度支出总计93.12万元，</w:t>
      </w:r>
      <w:r>
        <w:rPr>
          <w:rFonts w:ascii="仿宋_GB2312" w:hAnsi="仿宋_GB2312" w:eastAsia="仿宋_GB2312"/>
          <w:b w:val="0"/>
          <w:sz w:val="32"/>
        </w:rPr>
        <w:t>其中：本年支出合计93.12万元，结余分配0.00万元，年末结转和结余0.00万元。</w:t>
      </w:r>
    </w:p>
    <w:p w14:paraId="38C99C21">
      <w:pPr>
        <w:spacing w:line="580" w:lineRule="exact"/>
        <w:ind w:firstLine="640"/>
        <w:jc w:val="both"/>
      </w:pPr>
      <w:r>
        <w:rPr>
          <w:rFonts w:ascii="仿宋_GB2312" w:hAnsi="仿宋_GB2312" w:eastAsia="仿宋_GB2312"/>
          <w:b w:val="0"/>
          <w:sz w:val="32"/>
        </w:rPr>
        <w:t>收入支出总体与上年相比，增加16.65万元，增长21.77%，主要原因是：本年在职人员工资调增，社保、公积金基数调增，人员经费增加。本年</w:t>
      </w:r>
      <w:r>
        <w:rPr>
          <w:rFonts w:hint="eastAsia" w:ascii="仿宋_GB2312" w:hAnsi="仿宋_GB2312" w:eastAsia="仿宋_GB2312"/>
          <w:b w:val="0"/>
          <w:sz w:val="32"/>
          <w:lang w:eastAsia="zh-CN"/>
        </w:rPr>
        <w:t>本单位</w:t>
      </w:r>
      <w:r>
        <w:rPr>
          <w:rFonts w:ascii="仿宋_GB2312" w:hAnsi="仿宋_GB2312" w:eastAsia="仿宋_GB2312"/>
          <w:b w:val="0"/>
          <w:sz w:val="32"/>
        </w:rPr>
        <w:t>增加五家渠军供站库房维修和电动叉车更换电池项目。</w:t>
      </w:r>
    </w:p>
    <w:p w14:paraId="512F5E56">
      <w:pPr>
        <w:spacing w:line="640" w:lineRule="exact"/>
        <w:ind w:firstLine="640"/>
        <w:jc w:val="both"/>
        <w:outlineLvl w:val="2"/>
      </w:pPr>
      <w:r>
        <w:rPr>
          <w:rFonts w:ascii="黑体" w:hAnsi="黑体" w:eastAsia="黑体"/>
          <w:sz w:val="32"/>
        </w:rPr>
        <w:t>二、收入决算情况说明</w:t>
      </w:r>
    </w:p>
    <w:p w14:paraId="5E2FD94D">
      <w:pPr>
        <w:spacing w:line="580" w:lineRule="exact"/>
        <w:ind w:firstLine="640"/>
        <w:jc w:val="both"/>
      </w:pPr>
      <w:r>
        <w:rPr>
          <w:rFonts w:ascii="仿宋_GB2312" w:hAnsi="仿宋_GB2312" w:eastAsia="仿宋_GB2312"/>
          <w:b/>
          <w:sz w:val="32"/>
        </w:rPr>
        <w:t>本年收入93.12万元，</w:t>
      </w:r>
      <w:r>
        <w:rPr>
          <w:rFonts w:ascii="仿宋_GB2312" w:hAnsi="仿宋_GB2312" w:eastAsia="仿宋_GB2312"/>
          <w:b w:val="0"/>
          <w:sz w:val="32"/>
        </w:rPr>
        <w:t>其中：财政拨款收入93.12万元，占100.00%；上级补助收入0.00万元，占0.00%；事业收入0.00万元，占0.00%；经营收入0.00万元，占0.00%；附属单位上缴收入0.00万元，占0.00%；其他收入0.00万元，占0.00%。</w:t>
      </w:r>
    </w:p>
    <w:p w14:paraId="41DB7B6E">
      <w:pPr>
        <w:spacing w:line="640" w:lineRule="exact"/>
        <w:ind w:firstLine="640"/>
        <w:jc w:val="both"/>
        <w:outlineLvl w:val="2"/>
      </w:pPr>
      <w:r>
        <w:rPr>
          <w:rFonts w:ascii="黑体" w:hAnsi="黑体" w:eastAsia="黑体"/>
          <w:sz w:val="32"/>
        </w:rPr>
        <w:t>三、支出决算情况说明</w:t>
      </w:r>
    </w:p>
    <w:p w14:paraId="2CA43E98">
      <w:pPr>
        <w:spacing w:line="580" w:lineRule="exact"/>
        <w:ind w:firstLine="640"/>
        <w:jc w:val="both"/>
      </w:pPr>
      <w:r>
        <w:rPr>
          <w:rFonts w:ascii="仿宋_GB2312" w:hAnsi="仿宋_GB2312" w:eastAsia="仿宋_GB2312"/>
          <w:b/>
          <w:sz w:val="32"/>
        </w:rPr>
        <w:t>本年支出93.12万元，</w:t>
      </w:r>
      <w:r>
        <w:rPr>
          <w:rFonts w:ascii="仿宋_GB2312" w:hAnsi="仿宋_GB2312" w:eastAsia="仿宋_GB2312"/>
          <w:b w:val="0"/>
          <w:sz w:val="32"/>
        </w:rPr>
        <w:t>其中：基本支出81.12万元，占87.11%；项目支出12.00万元，占12.89%；上缴上级支出0.00万元，占0.00%；经营支出0.00万元，占0.00%；对附属单位补助支出0.00万元，占0.00%。</w:t>
      </w:r>
    </w:p>
    <w:p w14:paraId="7FA0609C">
      <w:pPr>
        <w:spacing w:line="640" w:lineRule="exact"/>
        <w:ind w:firstLine="640"/>
        <w:jc w:val="both"/>
        <w:outlineLvl w:val="2"/>
      </w:pPr>
      <w:r>
        <w:rPr>
          <w:rFonts w:ascii="黑体" w:hAnsi="黑体" w:eastAsia="黑体"/>
          <w:sz w:val="32"/>
        </w:rPr>
        <w:t>四、财政拨款收入支出决算总体情况说明</w:t>
      </w:r>
    </w:p>
    <w:p w14:paraId="13188E68">
      <w:pPr>
        <w:spacing w:line="580" w:lineRule="exact"/>
        <w:ind w:firstLine="640"/>
        <w:jc w:val="both"/>
      </w:pPr>
      <w:r>
        <w:rPr>
          <w:rFonts w:ascii="仿宋_GB2312" w:hAnsi="仿宋_GB2312" w:eastAsia="仿宋_GB2312"/>
          <w:b/>
          <w:sz w:val="32"/>
        </w:rPr>
        <w:t>2024年度财政拨款收入总计93.12万元，</w:t>
      </w:r>
      <w:r>
        <w:rPr>
          <w:rFonts w:ascii="仿宋_GB2312" w:hAnsi="仿宋_GB2312" w:eastAsia="仿宋_GB2312"/>
          <w:b w:val="0"/>
          <w:sz w:val="32"/>
        </w:rPr>
        <w:t>其中：年初财政拨款结转和结余0.00万元，本年财政拨款收入93.12万元。</w:t>
      </w:r>
      <w:r>
        <w:rPr>
          <w:rFonts w:ascii="仿宋_GB2312" w:hAnsi="仿宋_GB2312" w:eastAsia="仿宋_GB2312"/>
          <w:b/>
          <w:sz w:val="32"/>
        </w:rPr>
        <w:t>财政拨款支出总计93.12万元，</w:t>
      </w:r>
      <w:r>
        <w:rPr>
          <w:rFonts w:ascii="仿宋_GB2312" w:hAnsi="仿宋_GB2312" w:eastAsia="仿宋_GB2312"/>
          <w:b w:val="0"/>
          <w:sz w:val="32"/>
        </w:rPr>
        <w:t>其中：年末财政拨款结转和结余0.00万元，本年财政拨款支出93.12万元。</w:t>
      </w:r>
    </w:p>
    <w:p w14:paraId="508CB1E0">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增加16.65万元，增长21.77%，主要原因是：本年在职人员工资调增，社保、公积金基数调增，人员经费增加。本年</w:t>
      </w:r>
      <w:r>
        <w:rPr>
          <w:rFonts w:hint="eastAsia" w:ascii="仿宋_GB2312" w:hAnsi="仿宋_GB2312" w:eastAsia="仿宋_GB2312"/>
          <w:b w:val="0"/>
          <w:sz w:val="32"/>
          <w:lang w:eastAsia="zh-CN"/>
        </w:rPr>
        <w:t>本单位</w:t>
      </w:r>
      <w:r>
        <w:rPr>
          <w:rFonts w:ascii="仿宋_GB2312" w:hAnsi="仿宋_GB2312" w:eastAsia="仿宋_GB2312"/>
          <w:b w:val="0"/>
          <w:sz w:val="32"/>
        </w:rPr>
        <w:t>增加五家渠军供站库房维修和电动叉车更换电池项目。</w:t>
      </w:r>
      <w:r>
        <w:rPr>
          <w:rFonts w:ascii="仿宋_GB2312" w:hAnsi="仿宋_GB2312" w:eastAsia="仿宋_GB2312"/>
          <w:b/>
          <w:sz w:val="32"/>
        </w:rPr>
        <w:t>与年初预算相比，</w:t>
      </w:r>
      <w:r>
        <w:rPr>
          <w:rFonts w:ascii="仿宋_GB2312" w:hAnsi="仿宋_GB2312" w:eastAsia="仿宋_GB2312"/>
          <w:b w:val="0"/>
          <w:sz w:val="32"/>
        </w:rPr>
        <w:t>年初预算数78.28万元，决算数93.12万元，预决算差异率18.96%，主要原因是：年中追加人员工资、社保、公积金基数调增部分资金，年中追加五家渠军供站库房维修和电动叉车更换电池项目资金，导致预决算存在差异。</w:t>
      </w:r>
    </w:p>
    <w:p w14:paraId="63BC3681">
      <w:pPr>
        <w:spacing w:line="640" w:lineRule="exact"/>
        <w:ind w:firstLine="640"/>
        <w:jc w:val="both"/>
        <w:outlineLvl w:val="2"/>
      </w:pPr>
      <w:r>
        <w:rPr>
          <w:rFonts w:ascii="黑体" w:hAnsi="黑体" w:eastAsia="黑体"/>
          <w:sz w:val="32"/>
        </w:rPr>
        <w:t>五、一般公共预算财政拨款支出决算情况说明</w:t>
      </w:r>
    </w:p>
    <w:p w14:paraId="33781496">
      <w:pPr>
        <w:spacing w:line="640" w:lineRule="exact"/>
        <w:ind w:firstLine="640"/>
        <w:jc w:val="both"/>
        <w:outlineLvl w:val="3"/>
      </w:pPr>
      <w:r>
        <w:rPr>
          <w:rFonts w:ascii="楷体_GB2312" w:hAnsi="楷体_GB2312" w:eastAsia="楷体_GB2312"/>
          <w:b/>
          <w:sz w:val="32"/>
        </w:rPr>
        <w:t>（一）一般公共预算财政拨款支出决算总体情况</w:t>
      </w:r>
    </w:p>
    <w:p w14:paraId="468EE6DC">
      <w:pPr>
        <w:spacing w:line="580" w:lineRule="exact"/>
        <w:ind w:firstLine="640"/>
        <w:jc w:val="both"/>
      </w:pPr>
      <w:r>
        <w:rPr>
          <w:rFonts w:ascii="仿宋_GB2312" w:hAnsi="仿宋_GB2312" w:eastAsia="仿宋_GB2312"/>
          <w:b/>
          <w:sz w:val="32"/>
        </w:rPr>
        <w:t>2024年度一般公共预算财政拨款支出93.12万元，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增加16.65万元，增长21.77%，主要原因是：本年在职人员工资调增，社保、公积金基数调增，人员经费增加。本年</w:t>
      </w:r>
      <w:r>
        <w:rPr>
          <w:rFonts w:hint="eastAsia" w:ascii="仿宋_GB2312" w:hAnsi="仿宋_GB2312" w:eastAsia="仿宋_GB2312"/>
          <w:b w:val="0"/>
          <w:sz w:val="32"/>
          <w:lang w:eastAsia="zh-CN"/>
        </w:rPr>
        <w:t>本单位</w:t>
      </w:r>
      <w:r>
        <w:rPr>
          <w:rFonts w:ascii="仿宋_GB2312" w:hAnsi="仿宋_GB2312" w:eastAsia="仿宋_GB2312"/>
          <w:b w:val="0"/>
          <w:sz w:val="32"/>
        </w:rPr>
        <w:t>增加五家渠军供站库房维修和电动叉车更换电池项目。</w:t>
      </w:r>
      <w:r>
        <w:rPr>
          <w:rFonts w:ascii="仿宋_GB2312" w:hAnsi="仿宋_GB2312" w:eastAsia="仿宋_GB2312"/>
          <w:b/>
          <w:sz w:val="32"/>
        </w:rPr>
        <w:t>与年初预算相比,</w:t>
      </w:r>
      <w:r>
        <w:rPr>
          <w:rFonts w:ascii="仿宋_GB2312" w:hAnsi="仿宋_GB2312" w:eastAsia="仿宋_GB2312"/>
          <w:b w:val="0"/>
          <w:sz w:val="32"/>
        </w:rPr>
        <w:t>年初预算数78.28万元，决算数93.12万元，预决算差异率18.96%，主要原因是：年中追加人员工资、社保、公积金基数调增部分资金，年中追加五家渠军供站库房维修和电动叉车更换电池项目资金，导致预决算存在差异。</w:t>
      </w:r>
    </w:p>
    <w:p w14:paraId="31902364">
      <w:pPr>
        <w:spacing w:line="640" w:lineRule="exact"/>
        <w:ind w:firstLine="640"/>
        <w:jc w:val="both"/>
        <w:outlineLvl w:val="3"/>
      </w:pPr>
      <w:r>
        <w:rPr>
          <w:rFonts w:ascii="楷体_GB2312" w:hAnsi="楷体_GB2312" w:eastAsia="楷体_GB2312"/>
          <w:b/>
          <w:sz w:val="32"/>
        </w:rPr>
        <w:t>（二）一般公共预算财政拨款支出决算结构情况</w:t>
      </w:r>
    </w:p>
    <w:p w14:paraId="563619B2">
      <w:pPr>
        <w:spacing w:line="580" w:lineRule="exact"/>
        <w:ind w:firstLine="640"/>
        <w:jc w:val="both"/>
      </w:pPr>
      <w:r>
        <w:rPr>
          <w:rFonts w:ascii="仿宋_GB2312" w:hAnsi="仿宋_GB2312" w:eastAsia="仿宋_GB2312"/>
          <w:b w:val="0"/>
          <w:sz w:val="32"/>
        </w:rPr>
        <w:t>1.社会保障和就业支出(类)14.96万元,占16.07%。</w:t>
      </w:r>
    </w:p>
    <w:p w14:paraId="527956F9">
      <w:pPr>
        <w:spacing w:line="580" w:lineRule="exact"/>
        <w:ind w:firstLine="640"/>
        <w:jc w:val="both"/>
      </w:pPr>
      <w:r>
        <w:rPr>
          <w:rFonts w:ascii="仿宋_GB2312" w:hAnsi="仿宋_GB2312" w:eastAsia="仿宋_GB2312"/>
          <w:b w:val="0"/>
          <w:sz w:val="32"/>
        </w:rPr>
        <w:t>2.卫生健康支出(类)4.47万元,占4.80%。</w:t>
      </w:r>
    </w:p>
    <w:p w14:paraId="4C90470D">
      <w:pPr>
        <w:spacing w:line="580" w:lineRule="exact"/>
        <w:ind w:firstLine="640"/>
        <w:jc w:val="both"/>
      </w:pPr>
      <w:r>
        <w:rPr>
          <w:rFonts w:ascii="仿宋_GB2312" w:hAnsi="仿宋_GB2312" w:eastAsia="仿宋_GB2312"/>
          <w:b w:val="0"/>
          <w:sz w:val="32"/>
        </w:rPr>
        <w:t>3.住房保障支出(类)6.73万元,占7.23%。</w:t>
      </w:r>
    </w:p>
    <w:p w14:paraId="5476B51D">
      <w:pPr>
        <w:spacing w:line="580" w:lineRule="exact"/>
        <w:ind w:firstLine="640"/>
        <w:jc w:val="both"/>
      </w:pPr>
      <w:r>
        <w:rPr>
          <w:rFonts w:ascii="仿宋_GB2312" w:hAnsi="仿宋_GB2312" w:eastAsia="仿宋_GB2312"/>
          <w:b w:val="0"/>
          <w:sz w:val="32"/>
        </w:rPr>
        <w:t>4.粮油物资储备支出(类)66.96万元,占71.91%。</w:t>
      </w:r>
    </w:p>
    <w:p w14:paraId="598233C2">
      <w:pPr>
        <w:spacing w:line="640" w:lineRule="exact"/>
        <w:ind w:firstLine="640"/>
        <w:jc w:val="both"/>
        <w:outlineLvl w:val="3"/>
      </w:pPr>
      <w:r>
        <w:rPr>
          <w:rFonts w:ascii="楷体_GB2312" w:hAnsi="楷体_GB2312" w:eastAsia="楷体_GB2312"/>
          <w:b/>
          <w:sz w:val="32"/>
        </w:rPr>
        <w:t>（三）一般公共预算财政拨款支出决算具体情况</w:t>
      </w:r>
    </w:p>
    <w:p w14:paraId="35770BF0">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1.社会保障和就业支出(类)行政事业单位养老支出(款)事业单位离退休(项):支出决算数为2.50万元，比上年决算增加0.85万元，增长51.52%,主要原因是：本年增加退休人员基础绩效奖，退休费支出增加。</w:t>
      </w:r>
    </w:p>
    <w:p w14:paraId="62174CB1">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8.31万元，比上年决算增加0.88万元，增长11.84%,主要原因是：本年在职人员工资基数调增，养老缴费基数上涨，相应支出增加。</w:t>
      </w:r>
    </w:p>
    <w:p w14:paraId="5D8F67F1">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4.15万元，比上年决算增加0.43万元，增长11.56%,主要原因是：本年在职人员工资基数调增，机关事业单位职业年金缴费基数上涨，相应支出增加。</w:t>
      </w:r>
    </w:p>
    <w:p w14:paraId="22E43BD1">
      <w:pPr>
        <w:spacing w:line="580" w:lineRule="exact"/>
        <w:ind w:firstLine="640"/>
        <w:jc w:val="both"/>
      </w:pPr>
      <w:r>
        <w:rPr>
          <w:rFonts w:ascii="仿宋_GB2312" w:hAnsi="仿宋_GB2312" w:eastAsia="仿宋_GB2312"/>
          <w:b w:val="0"/>
          <w:sz w:val="32"/>
        </w:rPr>
        <w:t>4.卫生健康支出(类)行政事业单位医疗(款)事业单位医疗(项):支出决算数为4.15万元，比上年决算增加0.43万元，增长11.56%,主要原因是：本年在职人员工资基数调增，医疗缴费基数上涨，相应支出增加。</w:t>
      </w:r>
    </w:p>
    <w:p w14:paraId="161EE5EA">
      <w:pPr>
        <w:spacing w:line="580" w:lineRule="exact"/>
        <w:ind w:firstLine="640"/>
        <w:jc w:val="both"/>
      </w:pPr>
      <w:r>
        <w:rPr>
          <w:rFonts w:ascii="仿宋_GB2312" w:hAnsi="仿宋_GB2312" w:eastAsia="仿宋_GB2312"/>
          <w:b w:val="0"/>
          <w:sz w:val="32"/>
        </w:rPr>
        <w:t>5.卫生健康支出(类)行政事业单位医疗(款)公务员医疗补助(项):支出决算数为0.26万元，比上年决算增加0.03万元，增长13.04%,主要原因是：本年在职人员工资基数调增，医疗缴费基数上涨，相应支出增加。</w:t>
      </w:r>
    </w:p>
    <w:p w14:paraId="09A70A9E">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6.卫生健康支出(类)行政事业单位医疗(款)其他行政事业单位医疗支出(项):支出决算数为0.05万元，比上年决算增加0.00万元，增长0.00%,主要原因是：本年其他行政事业单位医疗支出与上年一致，无变化。</w:t>
      </w:r>
    </w:p>
    <w:p w14:paraId="7FB94053">
      <w:pPr>
        <w:spacing w:line="580" w:lineRule="exact"/>
        <w:ind w:firstLine="640"/>
        <w:jc w:val="both"/>
      </w:pPr>
      <w:r>
        <w:rPr>
          <w:rFonts w:ascii="仿宋_GB2312" w:hAnsi="仿宋_GB2312" w:eastAsia="仿宋_GB2312"/>
          <w:b w:val="0"/>
          <w:sz w:val="32"/>
        </w:rPr>
        <w:t>7.住房保障支出(类)住房改革支出(款)住房公积金(项):支出决算数为6.73万元，比上年决算增加0.83万元，增长14.07%,主要原因是：本年在职人员工资基数调增，公积金缴费基数上涨，相应支出增加。</w:t>
      </w:r>
    </w:p>
    <w:p w14:paraId="20BD7E5D">
      <w:pPr>
        <w:spacing w:line="580" w:lineRule="exact"/>
        <w:ind w:firstLine="640"/>
        <w:jc w:val="both"/>
      </w:pPr>
      <w:r>
        <w:rPr>
          <w:rFonts w:ascii="仿宋_GB2312" w:hAnsi="仿宋_GB2312" w:eastAsia="仿宋_GB2312"/>
          <w:b w:val="0"/>
          <w:sz w:val="32"/>
        </w:rPr>
        <w:t>8.粮油物资储备支出(类)粮油物资事务(款)事业运行(项):支出决算数为54.96万元，比上年决算增加1.20万元，增长2.23%,主要原因是：本年在职人员工资调增，导致相关人员经费较上年有所增加。</w:t>
      </w:r>
    </w:p>
    <w:p w14:paraId="38A2D1AC">
      <w:pPr>
        <w:spacing w:line="580" w:lineRule="exact"/>
        <w:ind w:firstLine="640"/>
        <w:jc w:val="both"/>
      </w:pPr>
      <w:r>
        <w:rPr>
          <w:rFonts w:ascii="仿宋_GB2312" w:hAnsi="仿宋_GB2312" w:eastAsia="仿宋_GB2312"/>
          <w:b w:val="0"/>
          <w:sz w:val="32"/>
        </w:rPr>
        <w:t>9.粮油物资储备支出(类)粮油物资事务(款)其他粮油物资事务支出(项):支出决算数为12.00万元，比上年决算增加12.00万元，增长100.00%,主要原因是：本年</w:t>
      </w:r>
      <w:r>
        <w:rPr>
          <w:rFonts w:hint="eastAsia" w:ascii="仿宋_GB2312" w:hAnsi="仿宋_GB2312" w:eastAsia="仿宋_GB2312"/>
          <w:b w:val="0"/>
          <w:sz w:val="32"/>
          <w:lang w:eastAsia="zh-CN"/>
        </w:rPr>
        <w:t>本单位</w:t>
      </w:r>
      <w:r>
        <w:rPr>
          <w:rFonts w:ascii="仿宋_GB2312" w:hAnsi="仿宋_GB2312" w:eastAsia="仿宋_GB2312"/>
          <w:b w:val="0"/>
          <w:sz w:val="32"/>
        </w:rPr>
        <w:t>增加五家渠军供站库房维修和电动叉车更换电池项目。</w:t>
      </w:r>
    </w:p>
    <w:p w14:paraId="79B6CAFE">
      <w:pPr>
        <w:spacing w:line="640" w:lineRule="exact"/>
        <w:ind w:firstLine="640"/>
        <w:jc w:val="both"/>
        <w:outlineLvl w:val="2"/>
      </w:pPr>
      <w:r>
        <w:rPr>
          <w:rFonts w:ascii="黑体" w:hAnsi="黑体" w:eastAsia="黑体"/>
          <w:sz w:val="32"/>
        </w:rPr>
        <w:t>六、一般公共预算财政拨款基本支出决算情况说明</w:t>
      </w:r>
    </w:p>
    <w:p w14:paraId="7AF13023">
      <w:pPr>
        <w:spacing w:line="580" w:lineRule="exact"/>
        <w:ind w:firstLine="640"/>
        <w:jc w:val="both"/>
      </w:pPr>
      <w:r>
        <w:rPr>
          <w:rFonts w:ascii="仿宋_GB2312" w:hAnsi="仿宋_GB2312" w:eastAsia="仿宋_GB2312"/>
          <w:b w:val="0"/>
          <w:sz w:val="32"/>
        </w:rPr>
        <w:t>2024年度一般公共预算财政拨款基本支出81.12万元，其中：</w:t>
      </w:r>
      <w:r>
        <w:rPr>
          <w:rFonts w:ascii="仿宋_GB2312" w:hAnsi="仿宋_GB2312" w:eastAsia="仿宋_GB2312"/>
          <w:b/>
          <w:sz w:val="32"/>
        </w:rPr>
        <w:t>人员经费79.94万元，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20E18448">
      <w:pPr>
        <w:spacing w:line="580" w:lineRule="exact"/>
        <w:ind w:firstLine="640"/>
        <w:jc w:val="both"/>
      </w:pPr>
      <w:r>
        <w:rPr>
          <w:rFonts w:ascii="仿宋_GB2312" w:hAnsi="仿宋_GB2312" w:eastAsia="仿宋_GB2312"/>
          <w:b/>
          <w:sz w:val="32"/>
        </w:rPr>
        <w:t>公用经费1.18万元，</w:t>
      </w:r>
      <w:r>
        <w:rPr>
          <w:rFonts w:ascii="仿宋_GB2312" w:hAnsi="仿宋_GB2312" w:eastAsia="仿宋_GB2312"/>
          <w:b w:val="0"/>
          <w:sz w:val="32"/>
        </w:rPr>
        <w:t>包括：办公费、福利费、其他商品和服务支出。</w:t>
      </w:r>
    </w:p>
    <w:p w14:paraId="3930F703">
      <w:pPr>
        <w:spacing w:line="640" w:lineRule="exact"/>
        <w:ind w:firstLine="640"/>
        <w:jc w:val="both"/>
        <w:outlineLvl w:val="2"/>
      </w:pPr>
      <w:r>
        <w:rPr>
          <w:rFonts w:ascii="黑体" w:hAnsi="黑体" w:eastAsia="黑体"/>
          <w:sz w:val="32"/>
        </w:rPr>
        <w:t>七、政府性基金预算财政拨款收入支出决算情况说明</w:t>
      </w:r>
    </w:p>
    <w:p w14:paraId="4D7EBD3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B2A4036">
      <w:pPr>
        <w:spacing w:line="640" w:lineRule="exact"/>
        <w:ind w:firstLine="640"/>
        <w:jc w:val="both"/>
        <w:outlineLvl w:val="2"/>
      </w:pPr>
      <w:r>
        <w:rPr>
          <w:rFonts w:ascii="黑体" w:hAnsi="黑体" w:eastAsia="黑体"/>
          <w:sz w:val="32"/>
        </w:rPr>
        <w:t>八、国有资本经营预算财政拨款收入支出决算情况说明</w:t>
      </w:r>
    </w:p>
    <w:p w14:paraId="40A55EB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7A9A0AB">
      <w:pPr>
        <w:spacing w:line="640" w:lineRule="exact"/>
        <w:ind w:firstLine="640"/>
        <w:jc w:val="both"/>
        <w:outlineLvl w:val="2"/>
      </w:pPr>
      <w:r>
        <w:rPr>
          <w:rFonts w:ascii="黑体" w:hAnsi="黑体" w:eastAsia="黑体"/>
          <w:sz w:val="32"/>
        </w:rPr>
        <w:t>九、财政拨款“三公”经费支出决算情况说明</w:t>
      </w:r>
    </w:p>
    <w:p w14:paraId="559DDEE0">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EC41420">
      <w:pPr>
        <w:spacing w:line="580" w:lineRule="exact"/>
        <w:ind w:firstLine="640"/>
        <w:jc w:val="both"/>
      </w:pPr>
      <w:r>
        <w:rPr>
          <w:rFonts w:ascii="仿宋_GB2312" w:hAnsi="仿宋_GB2312" w:eastAsia="仿宋_GB2312"/>
          <w:b/>
          <w:sz w:val="32"/>
        </w:rPr>
        <w:t>具体情况如下：</w:t>
      </w:r>
    </w:p>
    <w:p w14:paraId="0AA3DCE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B7788AC">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w:t>
      </w:r>
      <w:bookmarkStart w:id="0" w:name="_GoBack"/>
      <w:r>
        <w:rPr>
          <w:rFonts w:ascii="仿宋_GB2312" w:hAnsi="仿宋_GB2312" w:eastAsia="仿宋_GB2312"/>
          <w:b w:val="0"/>
          <w:w w:val="97"/>
          <w:sz w:val="32"/>
        </w:rPr>
        <w:t>车辆0辆，与公务用车保有量差异原因是：本单位无固定资产车辆。</w:t>
      </w:r>
      <w:bookmarkEnd w:id="0"/>
    </w:p>
    <w:p w14:paraId="1646DBE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358F12D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7A376FF">
      <w:pPr>
        <w:spacing w:line="640" w:lineRule="exact"/>
        <w:ind w:firstLine="640"/>
        <w:jc w:val="both"/>
        <w:outlineLvl w:val="2"/>
      </w:pPr>
      <w:r>
        <w:rPr>
          <w:rFonts w:ascii="黑体" w:hAnsi="黑体" w:eastAsia="黑体"/>
          <w:sz w:val="32"/>
        </w:rPr>
        <w:t>十、其他重要事项的情况说明</w:t>
      </w:r>
    </w:p>
    <w:p w14:paraId="4005A185">
      <w:pPr>
        <w:spacing w:line="640" w:lineRule="exact"/>
        <w:ind w:firstLine="640"/>
        <w:jc w:val="both"/>
        <w:outlineLvl w:val="3"/>
      </w:pPr>
      <w:r>
        <w:rPr>
          <w:rFonts w:ascii="楷体_GB2312" w:hAnsi="楷体_GB2312" w:eastAsia="楷体_GB2312"/>
          <w:b/>
          <w:sz w:val="32"/>
        </w:rPr>
        <w:t>（一）机关运行经费及公用经费支出情况</w:t>
      </w:r>
    </w:p>
    <w:p w14:paraId="036E6BA1">
      <w:pPr>
        <w:spacing w:line="580" w:lineRule="exact"/>
        <w:ind w:firstLine="640"/>
        <w:jc w:val="both"/>
      </w:pPr>
      <w:r>
        <w:rPr>
          <w:rFonts w:ascii="仿宋_GB2312" w:hAnsi="仿宋_GB2312" w:eastAsia="仿宋_GB2312"/>
          <w:b w:val="0"/>
          <w:sz w:val="32"/>
        </w:rPr>
        <w:t>2024年度五家渠军粮供应站（事业单位）公用经费支出1.18万元，比上年增加0.12万元，增长11.32%，主要原因是：本年更新、维护补充办公用品，导致公用经费较上年增加。</w:t>
      </w:r>
    </w:p>
    <w:p w14:paraId="6A867FFD">
      <w:pPr>
        <w:spacing w:line="640" w:lineRule="exact"/>
        <w:ind w:firstLine="640"/>
        <w:jc w:val="both"/>
        <w:outlineLvl w:val="3"/>
      </w:pPr>
      <w:r>
        <w:rPr>
          <w:rFonts w:ascii="楷体_GB2312" w:hAnsi="楷体_GB2312" w:eastAsia="楷体_GB2312"/>
          <w:b/>
          <w:sz w:val="32"/>
        </w:rPr>
        <w:t>（二）政府采购情况</w:t>
      </w:r>
    </w:p>
    <w:p w14:paraId="0E30428F">
      <w:pPr>
        <w:spacing w:line="580" w:lineRule="exact"/>
        <w:ind w:firstLine="640"/>
        <w:jc w:val="both"/>
      </w:pPr>
      <w:r>
        <w:rPr>
          <w:rFonts w:ascii="仿宋_GB2312" w:hAnsi="仿宋_GB2312" w:eastAsia="仿宋_GB2312"/>
          <w:b w:val="0"/>
          <w:sz w:val="32"/>
        </w:rPr>
        <w:t>2024年度政府采购支出总额1.20万元，其中：政府采购货物支出0.00万元、政府采购工程支出1.20万元、政府采购服务支出0.00万元。</w:t>
      </w:r>
    </w:p>
    <w:p w14:paraId="567FEEDF">
      <w:pPr>
        <w:spacing w:line="580" w:lineRule="exact"/>
        <w:ind w:firstLine="640"/>
        <w:jc w:val="both"/>
      </w:pPr>
      <w:r>
        <w:rPr>
          <w:rFonts w:ascii="仿宋_GB2312" w:hAnsi="仿宋_GB2312" w:eastAsia="仿宋_GB2312"/>
          <w:b w:val="0"/>
          <w:sz w:val="32"/>
        </w:rPr>
        <w:t>授予中小企业合同金额1.20万元，占政府采购支出总额的100.00%，其中：授予小微企业合同金额1.20万元，占政府采购支出总额的100.00%。</w:t>
      </w:r>
    </w:p>
    <w:p w14:paraId="461A441E">
      <w:pPr>
        <w:spacing w:line="640" w:lineRule="exact"/>
        <w:ind w:firstLine="640"/>
        <w:jc w:val="both"/>
        <w:outlineLvl w:val="3"/>
      </w:pPr>
      <w:r>
        <w:rPr>
          <w:rFonts w:ascii="楷体_GB2312" w:hAnsi="楷体_GB2312" w:eastAsia="楷体_GB2312"/>
          <w:b/>
          <w:sz w:val="32"/>
        </w:rPr>
        <w:t>（三）国有资产占用情况说明</w:t>
      </w:r>
    </w:p>
    <w:p w14:paraId="3D715E46">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5FA45CD7">
      <w:pPr>
        <w:spacing w:line="640" w:lineRule="exact"/>
        <w:ind w:firstLine="640"/>
        <w:jc w:val="both"/>
        <w:outlineLvl w:val="2"/>
      </w:pPr>
      <w:r>
        <w:rPr>
          <w:rFonts w:ascii="黑体" w:hAnsi="黑体" w:eastAsia="黑体"/>
          <w:sz w:val="32"/>
        </w:rPr>
        <w:t>十一、预算绩效的情况说明</w:t>
      </w:r>
    </w:p>
    <w:p w14:paraId="41113268">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根据预算绩效管理要求，本单位2024年度预算绩效管理形成整体支出绩效自评表1个，全年预算总额93.12万元，实际执行总额93.12万元；预算绩效评价项目</w:t>
      </w:r>
      <w:r>
        <w:rPr>
          <w:rFonts w:hint="eastAsia" w:ascii="仿宋_GB2312" w:hAnsi="仿宋_GB2312" w:eastAsia="仿宋_GB2312"/>
          <w:b w:val="0"/>
          <w:sz w:val="32"/>
          <w:lang w:val="en-US" w:eastAsia="zh-CN"/>
        </w:rPr>
        <w:t>1</w:t>
      </w:r>
      <w:r>
        <w:rPr>
          <w:rFonts w:ascii="仿宋_GB2312" w:hAnsi="仿宋_GB2312" w:eastAsia="仿宋_GB2312"/>
          <w:b w:val="0"/>
          <w:sz w:val="32"/>
        </w:rPr>
        <w:t>个，全年预算数</w:t>
      </w:r>
      <w:r>
        <w:rPr>
          <w:rFonts w:hint="eastAsia" w:ascii="仿宋_GB2312" w:hAnsi="仿宋_GB2312" w:eastAsia="仿宋_GB2312"/>
          <w:b w:val="0"/>
          <w:sz w:val="32"/>
          <w:lang w:val="en-US" w:eastAsia="zh-CN"/>
        </w:rPr>
        <w:t>12</w:t>
      </w:r>
      <w:r>
        <w:rPr>
          <w:rFonts w:ascii="仿宋_GB2312" w:hAnsi="仿宋_GB2312" w:eastAsia="仿宋_GB2312"/>
          <w:b w:val="0"/>
          <w:sz w:val="32"/>
        </w:rPr>
        <w:t>.00万元，全年执行数</w:t>
      </w:r>
      <w:r>
        <w:rPr>
          <w:rFonts w:hint="eastAsia" w:ascii="仿宋_GB2312" w:hAnsi="仿宋_GB2312" w:eastAsia="仿宋_GB2312"/>
          <w:b w:val="0"/>
          <w:sz w:val="32"/>
          <w:lang w:val="en-US" w:eastAsia="zh-CN"/>
        </w:rPr>
        <w:t>12</w:t>
      </w:r>
      <w:r>
        <w:rPr>
          <w:rFonts w:ascii="仿宋_GB2312" w:hAnsi="仿宋_GB2312" w:eastAsia="仿宋_GB2312"/>
          <w:b w:val="0"/>
          <w:sz w:val="32"/>
        </w:rPr>
        <w:t>.00万元。预算绩效管理取得的成效：一是制度建设完全，相关制度严格执行，经费到位及时，项目资金按计划使用，严格按照预算管理规定开支，及时支付项目款；二是坚持先做事、后验收、再拨付的原则，基本杜绝了资金被挤占和挪用现象的发生。发现的问题及原因：一是绩效管理经验不足，绩效管理的相关文件并不够完备，在绩效管理上有待完善；二是项目支出时间不</w:t>
      </w:r>
      <w:r>
        <w:rPr>
          <w:rFonts w:hint="eastAsia" w:ascii="仿宋_GB2312" w:hAnsi="仿宋_GB2312" w:eastAsia="仿宋_GB2312"/>
          <w:b w:val="0"/>
          <w:sz w:val="32"/>
          <w:lang w:eastAsia="zh-CN"/>
        </w:rPr>
        <w:t>均衡</w:t>
      </w:r>
      <w:r>
        <w:rPr>
          <w:rFonts w:ascii="仿宋_GB2312" w:hAnsi="仿宋_GB2312" w:eastAsia="仿宋_GB2312"/>
          <w:b w:val="0"/>
          <w:sz w:val="32"/>
        </w:rPr>
        <w:t>。下一步改进措施：一是加强绩效管理意识，提高绩效业务水平；二是</w:t>
      </w:r>
      <w:r>
        <w:rPr>
          <w:rFonts w:hint="eastAsia" w:ascii="仿宋_GB2312" w:hAnsi="仿宋_GB2312" w:eastAsia="仿宋_GB2312"/>
          <w:b w:val="0"/>
          <w:sz w:val="32"/>
          <w:lang w:eastAsia="zh-CN"/>
        </w:rPr>
        <w:t>均衡</w:t>
      </w:r>
      <w:r>
        <w:rPr>
          <w:rFonts w:ascii="仿宋_GB2312" w:hAnsi="仿宋_GB2312" w:eastAsia="仿宋_GB2312"/>
          <w:b w:val="0"/>
          <w:sz w:val="32"/>
        </w:rPr>
        <w:t>项目支出时间。具体附整体支出绩效自评表。</w:t>
      </w:r>
    </w:p>
    <w:p w14:paraId="3F1E5DAE">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ED9674D">
        <w:tblPrEx>
          <w:tblCellMar>
            <w:top w:w="0" w:type="dxa"/>
            <w:left w:w="108" w:type="dxa"/>
            <w:bottom w:w="0" w:type="dxa"/>
            <w:right w:w="108" w:type="dxa"/>
          </w:tblCellMar>
        </w:tblPrEx>
        <w:tc>
          <w:tcPr>
            <w:tcW w:w="8847" w:type="dxa"/>
            <w:gridSpan w:val="9"/>
            <w:vAlign w:val="center"/>
          </w:tcPr>
          <w:p w14:paraId="10A3618B">
            <w:pPr>
              <w:jc w:val="center"/>
            </w:pPr>
            <w:r>
              <w:rPr>
                <w:rFonts w:ascii="宋体" w:hAnsi="宋体" w:eastAsia="宋体"/>
                <w:sz w:val="24"/>
              </w:rPr>
              <w:t>单位整体支出绩效自评表</w:t>
            </w:r>
          </w:p>
        </w:tc>
      </w:tr>
      <w:tr w14:paraId="44AB20B7">
        <w:tblPrEx>
          <w:tblCellMar>
            <w:top w:w="0" w:type="dxa"/>
            <w:left w:w="108" w:type="dxa"/>
            <w:bottom w:w="0" w:type="dxa"/>
            <w:right w:w="108" w:type="dxa"/>
          </w:tblCellMar>
        </w:tblPrEx>
        <w:tc>
          <w:tcPr>
            <w:tcW w:w="8847" w:type="dxa"/>
            <w:gridSpan w:val="9"/>
            <w:vAlign w:val="center"/>
          </w:tcPr>
          <w:p w14:paraId="7B073C7B">
            <w:pPr>
              <w:jc w:val="center"/>
            </w:pPr>
            <w:r>
              <w:rPr>
                <w:rFonts w:ascii="宋体" w:hAnsi="宋体" w:eastAsia="宋体"/>
                <w:sz w:val="24"/>
              </w:rPr>
              <w:t>（2024年度）</w:t>
            </w:r>
          </w:p>
        </w:tc>
      </w:tr>
      <w:tr w14:paraId="60EABB7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4C9B5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03FC5FD">
            <w:pPr>
              <w:jc w:val="center"/>
            </w:pPr>
            <w:r>
              <w:rPr>
                <w:rFonts w:ascii="宋体" w:hAnsi="宋体" w:eastAsia="宋体"/>
                <w:sz w:val="16"/>
              </w:rPr>
              <w:t>五家渠军粮供应站</w:t>
            </w:r>
          </w:p>
        </w:tc>
      </w:tr>
      <w:tr w14:paraId="21B823B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76CE8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8E6B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0D222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0F5E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4DCC0">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F6E65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4BBE3E">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884CF">
            <w:pPr>
              <w:jc w:val="center"/>
            </w:pPr>
            <w:r>
              <w:rPr>
                <w:rFonts w:ascii="宋体" w:hAnsi="宋体" w:eastAsia="宋体"/>
                <w:sz w:val="16"/>
              </w:rPr>
              <w:t>得分</w:t>
            </w:r>
          </w:p>
        </w:tc>
      </w:tr>
      <w:tr w14:paraId="2DE70B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593C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41B57">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EF5B3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2394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1E45A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A0EB6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F499A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757B4">
            <w:pPr>
              <w:jc w:val="center"/>
            </w:pPr>
            <w:r>
              <w:rPr>
                <w:rFonts w:ascii="宋体" w:hAnsi="宋体" w:eastAsia="宋体"/>
                <w:sz w:val="16"/>
              </w:rPr>
              <w:t>-</w:t>
            </w:r>
          </w:p>
        </w:tc>
      </w:tr>
      <w:tr w14:paraId="3A4F56B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C5BCB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95E91">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9BF8E">
            <w:pPr>
              <w:jc w:val="center"/>
            </w:pPr>
            <w:r>
              <w:rPr>
                <w:rFonts w:ascii="宋体" w:hAnsi="宋体" w:eastAsia="宋体"/>
                <w:sz w:val="16"/>
              </w:rPr>
              <w:t>78.28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EF2120">
            <w:pPr>
              <w:jc w:val="center"/>
            </w:pPr>
            <w:r>
              <w:rPr>
                <w:rFonts w:ascii="宋体" w:hAnsi="宋体" w:eastAsia="宋体"/>
                <w:sz w:val="16"/>
              </w:rPr>
              <w:t>93.12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B3018E">
            <w:pPr>
              <w:jc w:val="center"/>
            </w:pPr>
            <w:r>
              <w:rPr>
                <w:rFonts w:ascii="宋体" w:hAnsi="宋体" w:eastAsia="宋体"/>
                <w:sz w:val="16"/>
              </w:rPr>
              <w:t>93.12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74D1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B79C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2C6FC">
            <w:pPr>
              <w:jc w:val="center"/>
            </w:pPr>
            <w:r>
              <w:rPr>
                <w:rFonts w:ascii="宋体" w:hAnsi="宋体" w:eastAsia="宋体"/>
                <w:sz w:val="16"/>
              </w:rPr>
              <w:t>-</w:t>
            </w:r>
          </w:p>
        </w:tc>
      </w:tr>
      <w:tr w14:paraId="075AC10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996C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A0B6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1A8C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3021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1FCE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D44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0A39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DE24CC">
            <w:pPr>
              <w:jc w:val="center"/>
            </w:pPr>
            <w:r>
              <w:rPr>
                <w:rFonts w:ascii="宋体" w:hAnsi="宋体" w:eastAsia="宋体"/>
                <w:sz w:val="16"/>
              </w:rPr>
              <w:t>-</w:t>
            </w:r>
          </w:p>
        </w:tc>
      </w:tr>
      <w:tr w14:paraId="64AF12B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D62EB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02FB8">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E2A437">
            <w:pPr>
              <w:jc w:val="center"/>
            </w:pPr>
            <w:r>
              <w:rPr>
                <w:rFonts w:ascii="宋体" w:hAnsi="宋体" w:eastAsia="宋体"/>
                <w:sz w:val="16"/>
              </w:rPr>
              <w:t>78.28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DC2FAC">
            <w:pPr>
              <w:jc w:val="center"/>
            </w:pPr>
            <w:r>
              <w:rPr>
                <w:rFonts w:ascii="宋体" w:hAnsi="宋体" w:eastAsia="宋体"/>
                <w:sz w:val="16"/>
              </w:rPr>
              <w:t>93.12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229F0">
            <w:pPr>
              <w:jc w:val="center"/>
            </w:pPr>
            <w:r>
              <w:rPr>
                <w:rFonts w:ascii="宋体" w:hAnsi="宋体" w:eastAsia="宋体"/>
                <w:sz w:val="16"/>
              </w:rPr>
              <w:t>93.12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0655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9E0DA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7B9070">
            <w:pPr>
              <w:jc w:val="center"/>
            </w:pPr>
            <w:r>
              <w:rPr>
                <w:rFonts w:ascii="宋体" w:hAnsi="宋体" w:eastAsia="宋体"/>
                <w:sz w:val="16"/>
              </w:rPr>
              <w:t>10</w:t>
            </w:r>
          </w:p>
        </w:tc>
      </w:tr>
      <w:tr w14:paraId="71CF953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A1EF0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684485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033F73">
            <w:pPr>
              <w:jc w:val="center"/>
            </w:pPr>
            <w:r>
              <w:rPr>
                <w:rFonts w:ascii="宋体" w:hAnsi="宋体" w:eastAsia="宋体"/>
                <w:sz w:val="16"/>
              </w:rPr>
              <w:t>实际完成情况</w:t>
            </w:r>
          </w:p>
        </w:tc>
      </w:tr>
      <w:tr w14:paraId="0A52F1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352CB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E724A7C">
            <w:pPr>
              <w:jc w:val="both"/>
            </w:pPr>
            <w:r>
              <w:rPr>
                <w:rFonts w:ascii="宋体" w:hAnsi="宋体" w:eastAsia="宋体"/>
                <w:sz w:val="16"/>
              </w:rPr>
              <w:t>根据单位机构三定方案，认真履行军粮供应职能，按照《全国粮食系统军粮规划管理办法》等法规，确保粮食业务工作顺利完成；保障单位机构正常运转。</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34E24E">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全年预算数为93.12万元，全年执行数为93.12万元，总预算执行率为100%。2024年</w:t>
            </w:r>
            <w:r>
              <w:rPr>
                <w:rFonts w:hint="eastAsia" w:ascii="宋体" w:hAnsi="宋体"/>
                <w:sz w:val="16"/>
                <w:lang w:eastAsia="zh-CN"/>
              </w:rPr>
              <w:t>本单位</w:t>
            </w:r>
            <w:r>
              <w:rPr>
                <w:rFonts w:ascii="宋体" w:hAnsi="宋体" w:eastAsia="宋体"/>
                <w:sz w:val="16"/>
              </w:rPr>
              <w:t>完成以下工作内容：1.军供业务工作人数5人；2.开展军粮业务培训次数1次；3.采购质量检验合格率100%；4.军粮供应标准误差率0%；5.军粮业务工作完成率100%；6.军粮采购、供应及时率100%。通过以上工作的实施，达到提高干部职工业务能力，使军粮供应的规范化管理工作上水平、以促进和展现军供服务为目的，</w:t>
            </w:r>
            <w:r>
              <w:rPr>
                <w:rFonts w:hint="eastAsia" w:ascii="宋体" w:hAnsi="宋体"/>
                <w:sz w:val="16"/>
                <w:lang w:eastAsia="zh-CN"/>
              </w:rPr>
              <w:t>贯彻</w:t>
            </w:r>
            <w:r>
              <w:rPr>
                <w:rFonts w:ascii="宋体" w:hAnsi="宋体" w:eastAsia="宋体"/>
                <w:sz w:val="16"/>
              </w:rPr>
              <w:t>“以兵为本”的军供理念</w:t>
            </w:r>
            <w:r>
              <w:rPr>
                <w:rFonts w:hint="eastAsia" w:ascii="宋体" w:hAnsi="宋体"/>
                <w:sz w:val="16"/>
                <w:lang w:eastAsia="zh-CN"/>
              </w:rPr>
              <w:t>，</w:t>
            </w:r>
            <w:r>
              <w:rPr>
                <w:rFonts w:ascii="宋体" w:hAnsi="宋体" w:eastAsia="宋体"/>
                <w:sz w:val="16"/>
              </w:rPr>
              <w:t>严把军粮入库质量关，杜绝不合格军粮流向军营，确保部队吃上安全、放心的粮油的预期目标。</w:t>
            </w:r>
          </w:p>
        </w:tc>
      </w:tr>
      <w:tr w14:paraId="0665C53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A95B9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B75F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38D8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434A71">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6E73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7986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66495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92D7BF">
            <w:pPr>
              <w:jc w:val="center"/>
            </w:pPr>
            <w:r>
              <w:rPr>
                <w:rFonts w:ascii="宋体" w:hAnsi="宋体" w:eastAsia="宋体"/>
                <w:sz w:val="16"/>
              </w:rPr>
              <w:t>得分</w:t>
            </w:r>
          </w:p>
        </w:tc>
      </w:tr>
      <w:tr w14:paraId="1F9E604A">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BE9F6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C37EB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F2E82A">
            <w:pPr>
              <w:jc w:val="center"/>
            </w:pPr>
            <w:r>
              <w:rPr>
                <w:rFonts w:ascii="宋体" w:hAnsi="宋体" w:eastAsia="宋体"/>
                <w:sz w:val="16"/>
              </w:rPr>
              <w:t>军供业务工作人数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F945B">
            <w:pPr>
              <w:jc w:val="center"/>
            </w:pPr>
            <w:r>
              <w:rPr>
                <w:rFonts w:ascii="宋体" w:hAnsi="宋体" w:eastAsia="宋体"/>
                <w:sz w:val="16"/>
              </w:rPr>
              <w:t>&gt;=5人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95BEE5">
            <w:pPr>
              <w:jc w:val="center"/>
            </w:pPr>
            <w:r>
              <w:rPr>
                <w:rFonts w:ascii="宋体" w:hAnsi="宋体" w:eastAsia="宋体"/>
                <w:sz w:val="16"/>
              </w:rPr>
              <w:t>全国粮食系统军粮供应规范化管理暂行办法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53E63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26CA83">
            <w:pPr>
              <w:jc w:val="center"/>
            </w:pPr>
            <w:r>
              <w:rPr>
                <w:rFonts w:ascii="宋体" w:hAnsi="宋体" w:eastAsia="宋体"/>
                <w:sz w:val="16"/>
              </w:rPr>
              <w:t>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973E5C">
            <w:pPr>
              <w:jc w:val="center"/>
            </w:pPr>
            <w:r>
              <w:rPr>
                <w:rFonts w:ascii="宋体" w:hAnsi="宋体" w:eastAsia="宋体"/>
                <w:sz w:val="16"/>
              </w:rPr>
              <w:t>15</w:t>
            </w:r>
          </w:p>
        </w:tc>
      </w:tr>
      <w:tr w14:paraId="0C31EC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475C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86CC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4714C">
            <w:pPr>
              <w:jc w:val="center"/>
            </w:pPr>
            <w:r>
              <w:rPr>
                <w:rFonts w:ascii="宋体" w:hAnsi="宋体" w:eastAsia="宋体"/>
                <w:sz w:val="16"/>
              </w:rPr>
              <w:t>开展军粮业务培训次数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17302">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B0ACF">
            <w:pPr>
              <w:jc w:val="center"/>
            </w:pPr>
            <w:r>
              <w:rPr>
                <w:rFonts w:ascii="宋体" w:hAnsi="宋体" w:eastAsia="宋体"/>
                <w:sz w:val="16"/>
              </w:rPr>
              <w:t>全国粮食系统军粮供应规范化管理暂行办法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B0D8CC">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86D17">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78E3E">
            <w:pPr>
              <w:jc w:val="center"/>
            </w:pPr>
            <w:r>
              <w:rPr>
                <w:rFonts w:ascii="宋体" w:hAnsi="宋体" w:eastAsia="宋体"/>
                <w:sz w:val="16"/>
              </w:rPr>
              <w:t>15</w:t>
            </w:r>
          </w:p>
        </w:tc>
      </w:tr>
      <w:tr w14:paraId="420961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154A7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5D67C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D518A9">
            <w:pPr>
              <w:jc w:val="center"/>
            </w:pPr>
            <w:r>
              <w:rPr>
                <w:rFonts w:ascii="宋体" w:hAnsi="宋体" w:eastAsia="宋体"/>
                <w:sz w:val="16"/>
              </w:rPr>
              <w:t>采购质量检验合格率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FD758">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4570B">
            <w:pPr>
              <w:jc w:val="center"/>
            </w:pPr>
            <w:r>
              <w:rPr>
                <w:rFonts w:ascii="宋体" w:hAnsi="宋体" w:eastAsia="宋体"/>
                <w:sz w:val="16"/>
              </w:rPr>
              <w:t>全国粮食系统军粮供应规范化管理暂行办法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02763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8854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3CC7B">
            <w:pPr>
              <w:jc w:val="center"/>
            </w:pPr>
            <w:r>
              <w:rPr>
                <w:rFonts w:ascii="宋体" w:hAnsi="宋体" w:eastAsia="宋体"/>
                <w:sz w:val="16"/>
              </w:rPr>
              <w:t>15</w:t>
            </w:r>
          </w:p>
        </w:tc>
      </w:tr>
      <w:tr w14:paraId="7A038A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341AF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A3343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0362D">
            <w:pPr>
              <w:jc w:val="center"/>
            </w:pPr>
            <w:r>
              <w:rPr>
                <w:rFonts w:ascii="宋体" w:hAnsi="宋体" w:eastAsia="宋体"/>
                <w:sz w:val="16"/>
              </w:rPr>
              <w:t>军粮供应标准误差率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78489">
            <w:pPr>
              <w:jc w:val="center"/>
            </w:pPr>
            <w:r>
              <w:rPr>
                <w:rFonts w:ascii="宋体" w:hAnsi="宋体" w:eastAsia="宋体"/>
                <w:sz w:val="16"/>
              </w:rPr>
              <w:t>&lt;=1%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259903">
            <w:pPr>
              <w:jc w:val="center"/>
            </w:pPr>
            <w:r>
              <w:rPr>
                <w:rFonts w:ascii="宋体" w:hAnsi="宋体" w:eastAsia="宋体"/>
                <w:sz w:val="16"/>
              </w:rPr>
              <w:t>全国粮食系统军粮供应规范化管理暂行办法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3659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AC86AD">
            <w:pPr>
              <w:jc w:val="center"/>
            </w:pPr>
            <w:r>
              <w:rPr>
                <w:rFonts w:ascii="宋体" w:hAnsi="宋体" w:eastAsia="宋体"/>
                <w:sz w:val="16"/>
              </w:rPr>
              <w:t>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50186">
            <w:pPr>
              <w:jc w:val="center"/>
            </w:pPr>
            <w:r>
              <w:rPr>
                <w:rFonts w:ascii="宋体" w:hAnsi="宋体" w:eastAsia="宋体"/>
                <w:sz w:val="16"/>
              </w:rPr>
              <w:t>15</w:t>
            </w:r>
          </w:p>
        </w:tc>
      </w:tr>
      <w:tr w14:paraId="6417299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A757F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570D6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BAD91">
            <w:pPr>
              <w:jc w:val="center"/>
            </w:pPr>
            <w:r>
              <w:rPr>
                <w:rFonts w:ascii="宋体" w:hAnsi="宋体" w:eastAsia="宋体"/>
                <w:sz w:val="16"/>
              </w:rPr>
              <w:t>军粮业务工作完成率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8D3C49">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69C33">
            <w:pPr>
              <w:jc w:val="center"/>
            </w:pPr>
            <w:r>
              <w:rPr>
                <w:rFonts w:ascii="宋体" w:hAnsi="宋体" w:eastAsia="宋体"/>
                <w:sz w:val="16"/>
              </w:rPr>
              <w:t>全国粮食系统军粮供应规范化管理暂行办法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78726D">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7E4DF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E10813">
            <w:pPr>
              <w:jc w:val="center"/>
            </w:pPr>
            <w:r>
              <w:rPr>
                <w:rFonts w:ascii="宋体" w:hAnsi="宋体" w:eastAsia="宋体"/>
                <w:sz w:val="16"/>
              </w:rPr>
              <w:t>15</w:t>
            </w:r>
          </w:p>
        </w:tc>
      </w:tr>
      <w:tr w14:paraId="2C01209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9092E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4BDF8F">
            <w:pPr>
              <w:jc w:val="center"/>
            </w:pPr>
            <w:r>
              <w:rPr>
                <w:rFonts w:ascii="宋体" w:hAnsi="宋体" w:eastAsia="宋体"/>
                <w:sz w:val="16"/>
              </w:rPr>
              <w:t>数量标准</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0FEBB">
            <w:pPr>
              <w:jc w:val="center"/>
            </w:pPr>
            <w:r>
              <w:rPr>
                <w:rFonts w:ascii="宋体" w:hAnsi="宋体" w:eastAsia="宋体"/>
                <w:sz w:val="16"/>
              </w:rPr>
              <w:t>军粮采购、供应及时率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C3F676">
            <w:pPr>
              <w:jc w:val="center"/>
            </w:pPr>
            <w:r>
              <w:rPr>
                <w:rFonts w:ascii="宋体" w:hAnsi="宋体" w:eastAsia="宋体"/>
                <w:sz w:val="16"/>
              </w:rPr>
              <w:t>&gt;=100%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81297B">
            <w:pPr>
              <w:jc w:val="center"/>
            </w:pPr>
            <w:r>
              <w:rPr>
                <w:rFonts w:ascii="宋体" w:hAnsi="宋体" w:eastAsia="宋体"/>
                <w:sz w:val="16"/>
              </w:rPr>
              <w:t>全国粮食系统军粮供应规范化管理暂行办法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9C76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F7103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1FF5AD">
            <w:pPr>
              <w:jc w:val="center"/>
            </w:pPr>
            <w:r>
              <w:rPr>
                <w:rFonts w:ascii="宋体" w:hAnsi="宋体" w:eastAsia="宋体"/>
                <w:sz w:val="16"/>
              </w:rPr>
              <w:t>15</w:t>
            </w:r>
          </w:p>
        </w:tc>
      </w:tr>
    </w:tbl>
    <w:p w14:paraId="0568CF9B">
      <w:r>
        <w:br w:type="page"/>
      </w:r>
    </w:p>
    <w:p w14:paraId="1441C597">
      <w:pPr>
        <w:spacing w:line="640" w:lineRule="exact"/>
        <w:ind w:firstLine="640"/>
        <w:jc w:val="both"/>
        <w:outlineLvl w:val="2"/>
      </w:pPr>
      <w:r>
        <w:rPr>
          <w:rFonts w:ascii="黑体" w:hAnsi="黑体" w:eastAsia="黑体"/>
          <w:sz w:val="32"/>
        </w:rPr>
        <w:t>十二、其他需说明的事项</w:t>
      </w:r>
    </w:p>
    <w:p w14:paraId="3691F30C">
      <w:pPr>
        <w:spacing w:line="580" w:lineRule="exact"/>
        <w:ind w:firstLine="640"/>
        <w:jc w:val="both"/>
      </w:pPr>
      <w:r>
        <w:rPr>
          <w:rFonts w:ascii="仿宋_GB2312" w:hAnsi="仿宋_GB2312" w:eastAsia="仿宋_GB2312"/>
          <w:b w:val="0"/>
          <w:sz w:val="32"/>
        </w:rPr>
        <w:t>本年本单位SM项目1个，全年预算数12万元，全年执行数12万元。</w:t>
      </w:r>
    </w:p>
    <w:p w14:paraId="2567B918">
      <w:r>
        <w:br w:type="page"/>
      </w:r>
    </w:p>
    <w:p w14:paraId="498FCB51">
      <w:pPr>
        <w:spacing w:line="240" w:lineRule="auto"/>
        <w:jc w:val="center"/>
        <w:outlineLvl w:val="1"/>
      </w:pPr>
      <w:r>
        <w:rPr>
          <w:rFonts w:ascii="黑体" w:hAnsi="黑体" w:eastAsia="黑体"/>
          <w:sz w:val="32"/>
        </w:rPr>
        <w:t>第三部分 专业名词解释</w:t>
      </w:r>
    </w:p>
    <w:p w14:paraId="1BF06E3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68B0DB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A387BC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9E69BD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C71F548">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9DD20F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D9A49A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22400B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46D0B0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E99F08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089916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BFFF2F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609BEE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6F02CDD">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9CF91B4">
      <w:r>
        <w:br w:type="page"/>
      </w:r>
    </w:p>
    <w:p w14:paraId="0D363C22">
      <w:pPr>
        <w:spacing w:line="240" w:lineRule="auto"/>
        <w:jc w:val="center"/>
        <w:outlineLvl w:val="1"/>
      </w:pPr>
      <w:r>
        <w:rPr>
          <w:rFonts w:ascii="黑体" w:hAnsi="黑体" w:eastAsia="黑体"/>
          <w:sz w:val="32"/>
        </w:rPr>
        <w:t>第四部分 部门决算报表（见附表）</w:t>
      </w:r>
    </w:p>
    <w:p w14:paraId="51AF6DF2">
      <w:pPr>
        <w:spacing w:line="240" w:lineRule="auto"/>
        <w:ind w:firstLine="640"/>
        <w:jc w:val="both"/>
      </w:pPr>
      <w:r>
        <w:rPr>
          <w:rFonts w:ascii="仿宋_GB2312" w:hAnsi="仿宋_GB2312" w:eastAsia="仿宋_GB2312"/>
          <w:b w:val="0"/>
          <w:sz w:val="32"/>
        </w:rPr>
        <w:t>一、《收入支出决算总表》</w:t>
      </w:r>
    </w:p>
    <w:p w14:paraId="35FA1D3E">
      <w:pPr>
        <w:spacing w:line="240" w:lineRule="auto"/>
        <w:ind w:firstLine="640"/>
        <w:jc w:val="both"/>
      </w:pPr>
      <w:r>
        <w:rPr>
          <w:rFonts w:ascii="仿宋_GB2312" w:hAnsi="仿宋_GB2312" w:eastAsia="仿宋_GB2312"/>
          <w:b w:val="0"/>
          <w:sz w:val="32"/>
        </w:rPr>
        <w:t>二、《收入决算表》</w:t>
      </w:r>
    </w:p>
    <w:p w14:paraId="28C26B86">
      <w:pPr>
        <w:spacing w:line="240" w:lineRule="auto"/>
        <w:ind w:firstLine="640"/>
        <w:jc w:val="both"/>
      </w:pPr>
      <w:r>
        <w:rPr>
          <w:rFonts w:ascii="仿宋_GB2312" w:hAnsi="仿宋_GB2312" w:eastAsia="仿宋_GB2312"/>
          <w:b w:val="0"/>
          <w:sz w:val="32"/>
        </w:rPr>
        <w:t>三、《支出决算表》</w:t>
      </w:r>
    </w:p>
    <w:p w14:paraId="6C0B58BF">
      <w:pPr>
        <w:spacing w:line="240" w:lineRule="auto"/>
        <w:ind w:firstLine="640"/>
        <w:jc w:val="both"/>
      </w:pPr>
      <w:r>
        <w:rPr>
          <w:rFonts w:ascii="仿宋_GB2312" w:hAnsi="仿宋_GB2312" w:eastAsia="仿宋_GB2312"/>
          <w:b w:val="0"/>
          <w:sz w:val="32"/>
        </w:rPr>
        <w:t>四、《财政拨款收入支出决算总表》</w:t>
      </w:r>
    </w:p>
    <w:p w14:paraId="0B800D2D">
      <w:pPr>
        <w:spacing w:line="240" w:lineRule="auto"/>
        <w:ind w:firstLine="640"/>
        <w:jc w:val="both"/>
      </w:pPr>
      <w:r>
        <w:rPr>
          <w:rFonts w:ascii="仿宋_GB2312" w:hAnsi="仿宋_GB2312" w:eastAsia="仿宋_GB2312"/>
          <w:b w:val="0"/>
          <w:sz w:val="32"/>
        </w:rPr>
        <w:t>五、《一般公共预算财政拨款支出决算表》</w:t>
      </w:r>
    </w:p>
    <w:p w14:paraId="2C171BB1">
      <w:pPr>
        <w:spacing w:line="240" w:lineRule="auto"/>
        <w:ind w:firstLine="640"/>
        <w:jc w:val="both"/>
      </w:pPr>
      <w:r>
        <w:rPr>
          <w:rFonts w:ascii="仿宋_GB2312" w:hAnsi="仿宋_GB2312" w:eastAsia="仿宋_GB2312"/>
          <w:b w:val="0"/>
          <w:sz w:val="32"/>
        </w:rPr>
        <w:t>六、《一般公共预算财政拨款基本支出决算表》</w:t>
      </w:r>
    </w:p>
    <w:p w14:paraId="69358599">
      <w:pPr>
        <w:spacing w:line="240" w:lineRule="auto"/>
        <w:ind w:firstLine="640"/>
        <w:jc w:val="both"/>
      </w:pPr>
      <w:r>
        <w:rPr>
          <w:rFonts w:ascii="仿宋_GB2312" w:hAnsi="仿宋_GB2312" w:eastAsia="仿宋_GB2312"/>
          <w:b w:val="0"/>
          <w:sz w:val="32"/>
        </w:rPr>
        <w:t>七、《政府性基金预算财政拨款收入支出决算表》</w:t>
      </w:r>
    </w:p>
    <w:p w14:paraId="384AAE88">
      <w:pPr>
        <w:spacing w:line="240" w:lineRule="auto"/>
        <w:ind w:firstLine="640"/>
        <w:jc w:val="both"/>
      </w:pPr>
      <w:r>
        <w:rPr>
          <w:rFonts w:ascii="仿宋_GB2312" w:hAnsi="仿宋_GB2312" w:eastAsia="仿宋_GB2312"/>
          <w:b w:val="0"/>
          <w:sz w:val="32"/>
        </w:rPr>
        <w:t>八、《国有资本经营预算财政拨款收入支出决算表》</w:t>
      </w:r>
    </w:p>
    <w:p w14:paraId="3063F10C">
      <w:pPr>
        <w:spacing w:line="240" w:lineRule="auto"/>
        <w:ind w:firstLine="640"/>
        <w:jc w:val="both"/>
      </w:pPr>
      <w:r>
        <w:rPr>
          <w:rFonts w:ascii="仿宋_GB2312" w:hAnsi="仿宋_GB2312" w:eastAsia="仿宋_GB2312"/>
          <w:b w:val="0"/>
          <w:sz w:val="32"/>
        </w:rPr>
        <w:t>九、《财政拨款“三公”经费支出决算表》</w:t>
      </w:r>
    </w:p>
    <w:p w14:paraId="736D7122">
      <w:pPr>
        <w:spacing w:line="240" w:lineRule="auto"/>
        <w:ind w:firstLine="640"/>
        <w:jc w:val="both"/>
      </w:pPr>
    </w:p>
    <w:p w14:paraId="2D78A7D3">
      <w:pPr>
        <w:spacing w:line="240" w:lineRule="auto"/>
        <w:ind w:firstLine="640"/>
        <w:jc w:val="both"/>
      </w:pPr>
    </w:p>
    <w:p w14:paraId="07CE541F">
      <w:pPr>
        <w:spacing w:line="240" w:lineRule="auto"/>
        <w:ind w:firstLine="640"/>
        <w:jc w:val="both"/>
      </w:pPr>
    </w:p>
    <w:p w14:paraId="5920AC84">
      <w:pPr>
        <w:spacing w:line="240" w:lineRule="auto"/>
        <w:ind w:firstLine="640"/>
        <w:jc w:val="both"/>
      </w:pPr>
    </w:p>
    <w:p w14:paraId="585BFBF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7F2A2A-CC7F-4317-B29C-928D641468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0D3AA9F4-CD4D-4B92-8EF7-BA0319868205}"/>
  </w:font>
  <w:font w:name="仿宋_GB2312">
    <w:altName w:val="仿宋"/>
    <w:panose1 w:val="02010609030101010101"/>
    <w:charset w:val="86"/>
    <w:family w:val="modern"/>
    <w:pitch w:val="default"/>
    <w:sig w:usb0="00000000" w:usb1="00000000" w:usb2="00000000" w:usb3="00000000" w:csb0="00040000" w:csb1="00000000"/>
    <w:embedRegular r:id="rId3" w:fontKey="{FCBEB34E-D101-474E-9A77-3682D8070E33}"/>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D50BE211-C2BA-4EF3-B58C-DCBC715660A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5690A7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A5C00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4467</Words>
  <Characters>5101</Characters>
  <Lines>0</Lines>
  <Paragraphs>0</Paragraphs>
  <TotalTime>1</TotalTime>
  <ScaleCrop>false</ScaleCrop>
  <LinksUpToDate>false</LinksUpToDate>
  <CharactersWithSpaces>5109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2025-10-15T07:25:45Z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