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B5B503"/>
    <w:p w14:paraId="09A6DFE6">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2F3F46A">
      <w:pPr>
        <w:spacing w:line="540" w:lineRule="exact"/>
        <w:jc w:val="center"/>
        <w:rPr>
          <w:rFonts w:ascii="华文中宋" w:hAnsi="华文中宋" w:eastAsia="华文中宋" w:cs="宋体"/>
          <w:b/>
          <w:kern w:val="0"/>
          <w:sz w:val="52"/>
          <w:szCs w:val="52"/>
        </w:rPr>
      </w:pPr>
    </w:p>
    <w:p w14:paraId="65AEA286">
      <w:pPr>
        <w:spacing w:line="540" w:lineRule="exact"/>
        <w:jc w:val="center"/>
        <w:rPr>
          <w:rFonts w:ascii="华文中宋" w:hAnsi="华文中宋" w:eastAsia="华文中宋" w:cs="宋体"/>
          <w:b/>
          <w:kern w:val="0"/>
          <w:sz w:val="52"/>
          <w:szCs w:val="52"/>
        </w:rPr>
      </w:pPr>
    </w:p>
    <w:p w14:paraId="08747C37">
      <w:pPr>
        <w:spacing w:line="540" w:lineRule="exact"/>
        <w:jc w:val="center"/>
        <w:rPr>
          <w:rFonts w:ascii="华文中宋" w:hAnsi="华文中宋" w:eastAsia="华文中宋" w:cs="宋体"/>
          <w:b/>
          <w:kern w:val="0"/>
          <w:sz w:val="52"/>
          <w:szCs w:val="52"/>
        </w:rPr>
      </w:pPr>
    </w:p>
    <w:p w14:paraId="04889B99">
      <w:pPr>
        <w:spacing w:line="540" w:lineRule="exact"/>
        <w:jc w:val="center"/>
        <w:rPr>
          <w:rFonts w:ascii="华文中宋" w:hAnsi="华文中宋" w:eastAsia="华文中宋" w:cs="宋体"/>
          <w:b/>
          <w:kern w:val="0"/>
          <w:sz w:val="52"/>
          <w:szCs w:val="52"/>
        </w:rPr>
      </w:pPr>
    </w:p>
    <w:p w14:paraId="043476B1">
      <w:pPr>
        <w:spacing w:line="540" w:lineRule="exact"/>
        <w:jc w:val="center"/>
        <w:rPr>
          <w:rFonts w:ascii="华文中宋" w:hAnsi="华文中宋" w:eastAsia="华文中宋" w:cs="宋体"/>
          <w:b/>
          <w:kern w:val="0"/>
          <w:sz w:val="52"/>
          <w:szCs w:val="52"/>
        </w:rPr>
      </w:pPr>
    </w:p>
    <w:p w14:paraId="248ADCE6">
      <w:pPr>
        <w:spacing w:line="540" w:lineRule="exact"/>
        <w:jc w:val="center"/>
        <w:rPr>
          <w:rFonts w:ascii="华文中宋" w:hAnsi="华文中宋" w:eastAsia="华文中宋" w:cs="宋体"/>
          <w:b/>
          <w:kern w:val="0"/>
          <w:sz w:val="52"/>
          <w:szCs w:val="52"/>
        </w:rPr>
      </w:pPr>
    </w:p>
    <w:p w14:paraId="1AB626B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1AB5985">
      <w:pPr>
        <w:spacing w:line="540" w:lineRule="exact"/>
        <w:jc w:val="center"/>
        <w:rPr>
          <w:rFonts w:ascii="华文中宋" w:hAnsi="华文中宋" w:eastAsia="华文中宋" w:cs="宋体"/>
          <w:b/>
          <w:kern w:val="0"/>
          <w:sz w:val="52"/>
          <w:szCs w:val="52"/>
        </w:rPr>
      </w:pPr>
    </w:p>
    <w:p w14:paraId="30A2E6F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47212FF">
      <w:pPr>
        <w:spacing w:line="540" w:lineRule="exact"/>
        <w:jc w:val="center"/>
        <w:rPr>
          <w:rFonts w:hAnsi="宋体" w:eastAsia="仿宋_GB2312" w:cs="宋体"/>
          <w:kern w:val="0"/>
          <w:sz w:val="30"/>
          <w:szCs w:val="30"/>
        </w:rPr>
      </w:pPr>
    </w:p>
    <w:p w14:paraId="6F8DA9B1">
      <w:pPr>
        <w:spacing w:line="540" w:lineRule="exact"/>
        <w:jc w:val="center"/>
        <w:rPr>
          <w:rFonts w:hAnsi="宋体" w:eastAsia="仿宋_GB2312" w:cs="宋体"/>
          <w:kern w:val="0"/>
          <w:sz w:val="30"/>
          <w:szCs w:val="30"/>
        </w:rPr>
      </w:pPr>
    </w:p>
    <w:p w14:paraId="767E6FD1">
      <w:pPr>
        <w:spacing w:line="540" w:lineRule="exact"/>
        <w:jc w:val="both"/>
        <w:rPr>
          <w:rFonts w:hAnsi="宋体" w:eastAsia="仿宋_GB2312" w:cs="宋体"/>
          <w:kern w:val="0"/>
          <w:sz w:val="30"/>
          <w:szCs w:val="30"/>
        </w:rPr>
      </w:pPr>
      <w:bookmarkStart w:id="0" w:name="_GoBack"/>
      <w:bookmarkEnd w:id="0"/>
    </w:p>
    <w:p w14:paraId="385B7552">
      <w:pPr>
        <w:spacing w:line="540" w:lineRule="exact"/>
        <w:jc w:val="center"/>
        <w:rPr>
          <w:rFonts w:hAnsi="宋体" w:eastAsia="仿宋_GB2312" w:cs="宋体"/>
          <w:kern w:val="0"/>
          <w:sz w:val="30"/>
          <w:szCs w:val="30"/>
        </w:rPr>
      </w:pPr>
    </w:p>
    <w:p w14:paraId="76A8062B">
      <w:pPr>
        <w:spacing w:line="540" w:lineRule="exact"/>
        <w:rPr>
          <w:rFonts w:hAnsi="宋体" w:eastAsia="仿宋_GB2312" w:cs="宋体"/>
          <w:kern w:val="0"/>
          <w:sz w:val="30"/>
          <w:szCs w:val="30"/>
        </w:rPr>
      </w:pPr>
    </w:p>
    <w:p w14:paraId="2D146E1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AD782B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昌吉州教育系统教职工能力提升培训经费</w:t>
      </w:r>
    </w:p>
    <w:p w14:paraId="7CF54C05">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中共昌吉回族自治州委员会教育工作委员会</w:t>
      </w:r>
    </w:p>
    <w:p w14:paraId="61E44F0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中共昌吉回族自治州委员会教育工作委员会</w:t>
      </w:r>
    </w:p>
    <w:p w14:paraId="7F746ED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赵文娟</w:t>
      </w:r>
    </w:p>
    <w:p w14:paraId="78683A2C">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2025年06月16日</w:t>
      </w:r>
    </w:p>
    <w:p w14:paraId="11B2DDD4">
      <w:pPr>
        <w:spacing w:line="700" w:lineRule="exact"/>
        <w:ind w:firstLine="708" w:firstLineChars="236"/>
        <w:jc w:val="left"/>
        <w:rPr>
          <w:rFonts w:hAnsi="宋体" w:eastAsia="仿宋_GB2312" w:cs="宋体"/>
          <w:kern w:val="0"/>
          <w:sz w:val="30"/>
          <w:szCs w:val="30"/>
        </w:rPr>
      </w:pPr>
    </w:p>
    <w:p w14:paraId="6DD89D80">
      <w:pPr>
        <w:spacing w:line="540" w:lineRule="exact"/>
        <w:rPr>
          <w:rStyle w:val="19"/>
          <w:rFonts w:ascii="黑体" w:hAnsi="黑体" w:eastAsia="黑体"/>
          <w:b w:val="0"/>
          <w:spacing w:val="-4"/>
          <w:sz w:val="32"/>
          <w:szCs w:val="32"/>
        </w:rPr>
      </w:pPr>
    </w:p>
    <w:p w14:paraId="3245983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F9C1BBE">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4126CCD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（一）项目概况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昌吉州党委办公室和昌吉州人民政府办公室联合发布的《自治州关于进一步加强新时代教师队伍建设的实施意见》（昌州党办发【2018】78号文件），以及为了贯彻落实《昌吉州2024年干部人才教育培训计划》的相关要求，昌吉州党委教育工作委员会立足于提升学校领导班子成员以及党员教师在政治能力和思想政治工作履职方面的专业能力，特此组织并实施了一系列的培训活动。为了确保这些培训活动能够顺利开展并取得预期效果，昌吉州党委教育工委决定专门设立本项目，旨在通过系统化的培训和教育，进一步加强教师队伍的建设，提升教师队伍的整体素质和能力，以满足新时代教育发展的需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（1）项目名称：昌吉州教育系统教职工能力提升培训经费（以下简称“该项目”或“项目”）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围绕学校领导班子和党员教师政治能力和思政履职能力建设，组织开展4期培训班，共培训人数210人。其中昌吉州学校领导班子成员寒暑假读书班培训40人，昌吉州学校党组织书记政治能力提升专题培训班培训40人，“丝路同源·智惠闽昌”昌吉州教师党员骨干“对党忠诚”暨“强能力 提素质”重点培训班培训50人。“丝路同源·智惠闽昌”昌吉州专职思政课教师履职能力提升专题轮训班培训80人，通过培训，进一步提高学校领导班子、党员骨干教师政治素质、政策理论水平和工作履职能力，推动广大教育工作者进一步强化理想信念和宗旨意识，进一步增强适应新时代新要求的专业化能力和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实施主体：中共昌吉回族自治州委员会教育工作委员会。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实施时间：本项目实施周期为2024年1月1日-2024年12月10日。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2024年1月，成立项目实施工作领导小组，由州党委教育工委副书记邢晓玲同志任组长，成员由州党委教育工委党建工作科赵文娟、李娜、马振兴、丁洁组成。领导小组负责与援疆前方指挥部对接，制定了培训实施方案，实施了4个专题培训班，组织选派了210参加培训。截至2024年12月10日，全部培训任务顺利结束，进一步提高了学校领导班子、党员骨干教师政治素质、政策理论水平和工作履职能力，推动广大教育工作者进一步强化了理想信念和宗旨意识，增强了适应新时代新要求的专业化能力和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负责强化党对教育工作的全面领导，指导教育系统贯彻执行党的路线方针政策，全面贯彻党的教育方针，坚持办学正确政治方向，对教育系统党的建设重大问题进行调查研究，向自治州党委提出意见建议；指导县（市）党委教育工委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②负责贯彻落实全面从严治党要求，会同自治州党委组织部，负责各级各类学校党建工作，落实党组织领导下的校长负责制，加强教育系统党的基层组织建设和党员队伍建设。</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会同自治州党委组织部，负责自治州党委管理的高等学校领导班子和人员管理工作，加强高等学校中层干部管理和后备干部队伍建设；指导加强教师队伍建设特别是师德师风建设；指导高等学校落实“三重一大”制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④负责高等学校思想政治工作；指导教育系统思想政治建设以及学校德育工作。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⑤指导教育系统党风廉政建设和反腐败斗争工作。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⑥承办自治州党委交办的其他任务。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州党委教育工作委员会单位机构设置：无下属预算单位，内设3个科室，分别是：办公室、党建科、思想政治工作科。昌吉州党委教育工作委员会单位人员总数13名，其中：在职13名，退休0名，离休0名。实有人员13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本项目预算安排总额为21万元，资金来源为本级部门预算，其中：财政资金0万元，其他资金21万元，2024年实际收到预算资金21万元，预算资金到位率为100%。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截至2024年12月31日，本项目实际支付资金21万元，预算执行率100%。本项目资金主要用于支付培训项目过程中的交通费8.85万元，学员餐费6.7万元，培训管理费5.45万元。</w:t>
      </w:r>
    </w:p>
    <w:p w14:paraId="100D53A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74695FF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（二）项目绩效目标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围绕学校领导班子和党员骨干教师政治能力提升，组织4期专题培训班，培训骨干党员教师210人，进一步提高学校领导班子、党员骨干教师政治素质、政策理论水平和工作履职能力，推动广大教育工作者进一步强化理想信念和宗旨意识，进一步增强适应新时代新要求的专业化能力和水平，建设一支新时代、新担当、新作为的高素质教育工作者队伍，为昌吉州教育高质量发展奠定坚实基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“培训班举办场次”指标，预期指标值为“≥4期”；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“培训人数”指标，预期指标值为“≥210人”；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“培训学员出勤率”指标，预期指标值为“≥95%”；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“培训完成时间”指标，预期指标值为“2024年12月10日前”；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“培训交通费成本”指标，预期指标值为“≤8.85万元”；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“培训餐费成本”指标，预期指标值为“≤6.7万元”；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“培训管理费成本”指标，预期指标值为“≤5.45万元”；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“提高教职工政治能力”指标，预期指标值为“有效提高”；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“培训学员满意度”指标，预期指标值为“≥95%”。</w:t>
      </w:r>
    </w:p>
    <w:p w14:paraId="3AA3F70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77A1740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7CAE9B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（一）绩效评价的目的、对象和范围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昌吉州教育系统教职工能力提升培训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昌吉州教育系统教职工能力提升培训经费项目经费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0C5349E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5CE0348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（二）绩效评价原则、评价指标体系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BF526E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FE12E3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（三）绩效评价工作过程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陶敏（评价小组组长）：主要负责项目策划和监督，全面负责项目绩效评价报告的最终质量，对评价人员出具的最终报告质量进行复核，确保评估结果的客观性；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侍倩（评价小组组员）：主要负责资料的收集，取证、数据统计分析；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黎国艺（评价小组组员）：主要负责项目报告的制定，指标的研判，数据分析及报告撰写。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2025年3月15日-3月20日，评价小组按照绩效评价的原则和规范，对取得的资料进行审查核实，对采集的数据进行分析，按照绩效评价指标评分表逐项进行打分、分析、汇总各方评价结果。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2025年3月21日-3月28日，评价小组撰写绩效评价报告，按照新疆维吾尔自治区财政绩效管理信息系统绩效评价模块中统一格式和文本框架撰写绩效评价报告并提交审核。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029C64F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7E91052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如期完成了4期210人的昌吉州教育系统教职工能力提升培训，培训成效显著、资金使用合规性达到100%。全面提高学校领导班子、党员骨干教师政治素质、政策理论水平和工作履职能力，推动广大教育工作者进一步强化理想信念和宗旨意识，进一步增强适应新时代新要求的专业化能力和水平。但也存在一些不足，主要是项目培训时间较短，教职工脱产培训时间不够充足，部分培训课程安排紧凑，对培训效果有一定影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项目决策类指标共设置6个，满分指标6个，得分率100%；过程管理类指标共设置5个，满分指标5个，得分率100%；项目产出类指标共设置7个，满分指标7个，得分率100%；项目效益类指标共设置1个，满分指标1个，得分率100%；项目满意度类指标共设置1个，满分指标1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 100% 100% 100% 100% 100%</w:t>
      </w:r>
    </w:p>
    <w:p w14:paraId="17D338F2">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15084D8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15646B05">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（一）项目决策情况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中共中央国务院颁发的《中共中央国务院关于全面深化新时代教师队伍建设改革的意见》中：“大力振兴教师教育，不断提升教师专业素质能力”符合行业发展规划和政策要求；本项目立项符合《中共昌吉回族自治州教育工作委员会单位配置内设机构和人员编制规定》中职责范围中的“负责教育系统人才队伍建设，会同自治州党委组织部，负责自治州直属中小学领导班子、中层干部及后各干部选拔使用和管理工作；负责教师培养培训规划和组织实施工作；负责教育系统教师招聘、专业技术职务评聘、教师继续教育和教师资格认定工作；负责具有师资格的大中专毕业生就业指导工作。”，属于我单位履职所需；根据《财政资金直接支付申请书》，本项目资金性质为“公共财政预算”功能分类为“一般行政管理事务”经济分类为“商品服务支出”属于公共财政支持范围，符合中央、地方事权支出责任划分原则；经检查我单位财政应用平台指标，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中共中央国务院关于全面深化新时代教师队伍建设改革的意见》《中共新疆维吾尔自治区委员会 新疆维吾尔自治区人民政府关于全面深化新时代教师队伍建设改革的实施意见》《自治州关于进一步加强新时代教师队伍建设的实施意见》文件要求实施项目。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已设置年度绩效目标，具体内容为“2024年围绕学校领导班子和党员骨干教师政治能力提升，组织4期专题培训班，培训骨干党员教师210人，进一步提高学校领导班子、党员骨干教师政治素质、政策理论水平和工作履职能力，推动广大教育工作者进一步强化理想信念和宗旨意识，进一步增强适应新时代新要求的专业化能力和水平，建设一支新时代、新担当、新作为的高素质教育工作者队伍，为昌吉州教育高质量发展奠定坚实基础。”本项目实际工作内容为：截至2024年12月31日，昌吉州党委教育工委组织了组织4期专题培训班，培训了骨干党员教师210人，培训学员合格率、资金使用合规性达到了100%”工作；绩效目标与实际工作内容一致，两者具有相关性;本项目按照绩效目标完成了数量指标、质量指标、时效指标、成本指标，进一步提高了学校领导班子、党员骨干教师政治素质、政策理论水平和工作履职能力，推动广大教育工作者进一步强化理想信念和宗旨意识，进一步增强适应新时代新要求的专业化能力和水平，建设一支新时代、新担当、新作为的高素质教育工作者队伍，为昌吉州教育高质量发展奠定坚实基础，年度绩效目标完成，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培训班举办场次”“培训人数”，三级指标的年度指标值与年度绩效目标中任务数一致，已设置时效指标“项目改造完成时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本项目预算编制通过以往年度的实际执行情况，综合考虑本年度情况，综合编制预算。即预算编制较科学且经过论证；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预算申请内容为昌吉州教育系统教职工能力提升培训，项目实际内容为昌吉州教育系统教职工能力提升培训，预算申请与昌吉州教育系统教职工能力提升培训中涉及的项目内容匹配；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21万元，我单位在预算申请中严格按照项目实施内容及测算标准进行核算，其中：培训交通费成本费用8.85万元、培训餐费成本6.7万元、培训管理费成本5.45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州教育系统教职工能力提升培训项目资金的请示》和《昌吉州教育系统教职工能力提升培训项目实施方案》为依据进行资金分配，预算资金分配依据充分。根据《中小学教师培训项目资金下达文件》文件显示，本项目实际到位资金21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226385CF">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3DB01C0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（二）项目过程情况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本项目预算资金为21万元，其中：财政安排资金0万元，其他资金21万元，实际到位资金21万元，资金到位率=（21/21）×100.00%=100%。得分=（100%-60.00%）/（1-60.00%）×4.00=4分。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本项目实际支出资金21万元，预算执行率=（21/21）×100.00%=100%；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项目已完成，总体完成率为101.17%；项目完成，即总体目标完成率≥100.0%且90.0%≤执行率≤100.0%，得满分。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教育工委、州教育局单位资金管理办法》《昌吉州教育工委、州教育局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昌吉州教育工委、州教育局资金管理办法》《昌吉州教育工委、州教育局收支业务管理制度》《昌吉州教育工委、州教育局政府采购业务管理制度》《昌吉州教育工委、州教育局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教育系统教职工能力提升培训项目工作领导小组，由党组书记赵吉林任组长，负责项目的组织工作；邢晓玲举任副组长，负责项目的实施工作；组员：李娜，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教育系统教职工能力提升培训项目工作领导小组，由赵吉林任组长，负责项目的组织工作；邢晓玲任副组长，负责项目的实施工作；组员包括：马振新，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0555C4C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272592F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（三）项目产出情况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项目产出类指标由4个二级指标和7个三级指标构成，权重分30.00分，实际得分30.00分。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“培训班举办场次”指标：预期指标值为“≥4期”，实际完成指标值为“=4期”，指标完成率为100.00%。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“培训人数”指标：预期指标值为“≥210人”，实际完成指标值为“=210人”，指标完成率为100.00%。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“培训学员出勤率”指标：预期指标值为“≥95%”，实际完成指标值为“=100%”，指标完成率为105.26%。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“改造完成时间”指标：预期指标值为“2024年12月10日前”，实际完成指标值为“2024年12月10日”，指标完成率为100%。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“培训交通费成本”指标：预期指标值为“≤8.85万元”，实际完成指标值为“=8.85万元”，指标完成率为100%。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“培训餐费成本”指标：预期指标值为“≤6.7万元”，实际完成指标值为“=6.7万元”，指标完成率为100%。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“培训管理费成本”指标：预期指标值为“≤5.45万元”，实际完成指标值为“=5.45万元”，指标完成率为100%。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52CA213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7BE0CA1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（四）项目效益情况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项目效益类指标由1个二级指标和1个三级指标构成，权重分20.00分，实际得分20.00分。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“提高教职工政治能力”指标，预期指标值为“有效提高”，实际完成指标值为“达到预期指标”，指标完成率为100.00%。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综上所述，本指标满分为20.00分，根据评分标准得20.00分。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639F094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（五）项目满意度情况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项目满意度类指标由1个二级指标和1个三级指标构成，权重分10.00分，实际得分10分。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“培训学员满意度”指标：预期指标值为“≥95%”，实际完成指标值为“=100%”，指标完成率为105.26%。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五、预算执行进度与绩效指标偏差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本项目年初预算资金总额为21万元，全年预算数为21万元，全年执行数为21万元，预算执行率为100%。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本项目共设置三级指标数量20个，满分指标数量20个，扣分指标数量0个，经分析计算所有三级指标完成率得出，本项目总体完成率为100.53%。</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综上所述本项目预算执行率与总体完成率之间的偏差为0.53，偏差原因为：质量指标“培训学员出勤率”和满意度指标“培训学员满意度”年初设定的目标值较为保守，本年度实际完成情况较好，故产生此偏差。</w:t>
      </w:r>
    </w:p>
    <w:p w14:paraId="17DE1C3D">
      <w:pPr>
        <w:spacing w:line="540" w:lineRule="exact"/>
        <w:ind w:firstLine="567"/>
        <w:rPr>
          <w:rStyle w:val="19"/>
          <w:rFonts w:hint="eastAsia" w:ascii="楷体" w:hAnsi="楷体" w:eastAsia="楷体"/>
          <w:b w:val="0"/>
          <w:bCs w:val="0"/>
          <w:spacing w:val="-4"/>
          <w:sz w:val="32"/>
          <w:szCs w:val="32"/>
        </w:rPr>
      </w:pPr>
    </w:p>
    <w:p w14:paraId="2BA70DC6">
      <w:pPr>
        <w:spacing w:line="540" w:lineRule="exact"/>
        <w:ind w:firstLine="567"/>
        <w:rPr>
          <w:rStyle w:val="19"/>
          <w:rFonts w:ascii="楷体" w:hAnsi="楷体" w:eastAsia="楷体"/>
          <w:spacing w:val="-4"/>
          <w:sz w:val="32"/>
          <w:szCs w:val="32"/>
        </w:rPr>
      </w:pPr>
    </w:p>
    <w:p w14:paraId="5014C375">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12CEE2A4">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一是项目实施前，对项目进行充分的调研，对全州教职工以往参加政治能力培训情况进行了全面摸底，掌握清楚了底数，并制定了切实可行的实施方案，为项目的顺利实施做了充分的准备。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二是在预算安排上，前期对市场进行了充分调研，比对多家培训服务机构价格，确定了基本价格方案，并进行招投标确定了项目实施企业，最大限度降低了项目实施成本。</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充分发挥好项目实施效果，组织好参训教师做好全面加强中小学思政和德育工作，推动学习贯彻习近平新时代中国特色社会主义思想主题教育进课堂、进学生头脑，将《习近平新时代中国特色社会主义思想学生读本》作为小学、初中、高中必修内容，利用思政课、班团队课等安排课时、统筹实施。用好新时代伟大实践成就和时政要闻等教育资源，运用案例式等教学方法实施教学，提升思政课育人质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部门在绩效管理的理念上尚未完全确立，导致绩效管理的专业人员数量不足。具体来说，单位内部对全面实施绩效管理的认识还不够深入，这直接影响了绩效水平的提升。此外，单位内部在绩效管理工作方面的力量相对薄弱，很多时候是由财务人员来牵头开展绩效管理工作，这导致了工作推动机制的不完善。同时，业务人员的业务能力和整体素质还有待进一步提升，这也是影响绩效管理效果的一个重要因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在当前的工作环境中，单位人员对于绩效档案管理工作的重视程度显得明显不足，关键时间节点的材料没有得到充分的鉴定和归档。由于缺乏对这些重要文件的关注，绩效管理工作档案出现了缺失的情况。此外，单位人员在绩效档案管理方面的业务知识不够熟练。业务知识的缺乏导致绩效档案管理与实际业务之间存在一定的偏差。由于对业务流程和档案管理要求理解不够深入，相关人员在执行任务时可能会出现疏漏，从而影响档案的准确性和可靠性。</w:t>
      </w:r>
    </w:p>
    <w:p w14:paraId="564EC21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090099C1">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 xml:space="preserve"> 1、重视并加强培训工作，以提升相关人员的工作能力和专业水平。为此，将采取多种培训形式，对单位的财务人员和业务科室人员进行系统的集中培训。通过这些培训，旨在进一步巩固和强化绩效观念，确保每位员工都能深刻理解绩效管理的重要性。同时，也将注重提高本单位工作人员在绩效管理方面的实际操作能力和整体工作水平。通过这些努力，希望能够为预算绩效管理相关工作的顺利开展提供坚实的保障，确保各项工作能够高效、有序地进行。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扎实推进档案规范化建设，提升档案管理水平，进一步完善项目评价资料。项目启动时同步做好档案的归纳与整理，及时整理、收集、汇总，健全档案资料。严格落实自治区关于绩效管理工作档案资料归档的相关要求，强化收集力度，确保归档资料的完整齐全。加强对绩效档案管理工作的重视，确保关键时间节点的材料得到妥善鉴定和归档。同时，加强对相关人员的培训，提高业务知识水平，确保绩效档案管理与实际业务的紧密结合，充分发挥绩效档案管理的综合价值，为单位的绩效管理工作提供有力支持。</w:t>
      </w:r>
    </w:p>
    <w:p w14:paraId="6D103F4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0DE2BB7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E5E02A6">
      <w:pPr>
        <w:spacing w:line="540" w:lineRule="exact"/>
        <w:ind w:firstLine="567"/>
        <w:rPr>
          <w:rStyle w:val="19"/>
          <w:rFonts w:ascii="仿宋" w:hAnsi="仿宋" w:eastAsia="仿宋"/>
          <w:b w:val="0"/>
          <w:spacing w:val="-4"/>
          <w:sz w:val="32"/>
          <w:szCs w:val="32"/>
        </w:rPr>
      </w:pPr>
    </w:p>
    <w:p w14:paraId="4AF2F877">
      <w:pPr>
        <w:spacing w:line="540" w:lineRule="exact"/>
        <w:ind w:firstLine="567"/>
        <w:rPr>
          <w:rStyle w:val="19"/>
          <w:rFonts w:ascii="仿宋" w:hAnsi="仿宋" w:eastAsia="仿宋"/>
          <w:b w:val="0"/>
          <w:spacing w:val="-4"/>
          <w:sz w:val="32"/>
          <w:szCs w:val="32"/>
        </w:rPr>
      </w:pPr>
    </w:p>
    <w:p w14:paraId="3F9E6126">
      <w:pPr>
        <w:spacing w:line="540" w:lineRule="exact"/>
        <w:ind w:firstLine="567"/>
        <w:rPr>
          <w:rStyle w:val="19"/>
          <w:rFonts w:ascii="仿宋" w:hAnsi="仿宋" w:eastAsia="仿宋"/>
          <w:b w:val="0"/>
          <w:spacing w:val="-4"/>
          <w:sz w:val="32"/>
          <w:szCs w:val="32"/>
        </w:rPr>
      </w:pPr>
    </w:p>
    <w:p w14:paraId="3E7B0E17">
      <w:pPr>
        <w:spacing w:line="540" w:lineRule="exact"/>
        <w:ind w:firstLine="567"/>
        <w:rPr>
          <w:rStyle w:val="19"/>
          <w:rFonts w:ascii="仿宋" w:hAnsi="仿宋" w:eastAsia="仿宋"/>
          <w:b w:val="0"/>
          <w:spacing w:val="-4"/>
          <w:sz w:val="32"/>
          <w:szCs w:val="32"/>
        </w:rPr>
      </w:pPr>
    </w:p>
    <w:p w14:paraId="08330932">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F0D5D1B">
        <w:pPr>
          <w:pStyle w:val="12"/>
          <w:jc w:val="center"/>
        </w:pPr>
        <w:r>
          <w:fldChar w:fldCharType="begin"/>
        </w:r>
        <w:r>
          <w:instrText xml:space="preserve">PAGE   \* MERGEFORMAT</w:instrText>
        </w:r>
        <w:r>
          <w:fldChar w:fldCharType="separate"/>
        </w:r>
        <w:r>
          <w:rPr>
            <w:lang w:val="zh-CN"/>
          </w:rPr>
          <w:t>2</w:t>
        </w:r>
        <w:r>
          <w:fldChar w:fldCharType="end"/>
        </w:r>
      </w:p>
    </w:sdtContent>
  </w:sdt>
  <w:p w14:paraId="30CC2B9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67A7691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3e711196-40da-483c-8bc1-2d2c1937e66c}">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13668</Words>
  <Characters>14439</Characters>
  <Lines>4</Lines>
  <Paragraphs>1</Paragraphs>
  <TotalTime>7</TotalTime>
  <ScaleCrop>false</ScaleCrop>
  <LinksUpToDate>false</LinksUpToDate>
  <CharactersWithSpaces>14483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2025-10-15T02:41:48Z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eyJoZGlkIjoiNTM1NjJiMTUwNmFhZWNlZmQwNDVjMDAxNDMwM2IwMDkiLCJ1c2VySWQiOiIzNzI2MDMzNTYifQ==</vt:lpwstr>
  </property>
</Properties>
</file>