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6D9D03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中共昌吉回族自治州委员会政策研究室</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DB865CA">
      <w:r>
        <w:br w:type="page"/>
      </w:r>
    </w:p>
    <w:p w14:paraId="22FE594F">
      <w:pPr>
        <w:spacing w:line="640" w:lineRule="exact"/>
        <w:jc w:val="center"/>
        <w:outlineLvl w:val="1"/>
      </w:pPr>
      <w:r>
        <w:rPr>
          <w:rFonts w:ascii="黑体" w:hAnsi="黑体" w:eastAsia="黑体"/>
          <w:sz w:val="32"/>
        </w:rPr>
        <w:t>第一部分 单位概况</w:t>
      </w:r>
    </w:p>
    <w:p w14:paraId="6D739BF4">
      <w:pPr>
        <w:spacing w:line="640" w:lineRule="exact"/>
        <w:ind w:firstLine="640"/>
        <w:jc w:val="both"/>
        <w:outlineLvl w:val="2"/>
      </w:pPr>
      <w:r>
        <w:rPr>
          <w:rFonts w:ascii="黑体" w:hAnsi="黑体" w:eastAsia="黑体"/>
          <w:sz w:val="32"/>
        </w:rPr>
        <w:t>一、主要职能</w:t>
      </w:r>
    </w:p>
    <w:p w14:paraId="3768F496">
      <w:pPr>
        <w:spacing w:line="580" w:lineRule="exact"/>
        <w:ind w:firstLine="640"/>
        <w:jc w:val="both"/>
      </w:pPr>
      <w:r>
        <w:rPr>
          <w:rFonts w:ascii="仿宋_GB2312" w:hAnsi="仿宋_GB2312" w:eastAsia="仿宋_GB2312"/>
          <w:sz w:val="32"/>
        </w:rPr>
        <w:t>中共昌吉回族自治州委员会政策研究室是昌吉州党委工作机关，为正处级，对外加挂自治州人民政府研究室牌子。昌吉州党委全面深化改革委员会办公室设在自治州党委政策研究室。</w:t>
      </w:r>
    </w:p>
    <w:p w14:paraId="3DC77A36">
      <w:pPr>
        <w:spacing w:line="640" w:lineRule="exact"/>
        <w:ind w:firstLine="640"/>
        <w:jc w:val="both"/>
        <w:outlineLvl w:val="2"/>
      </w:pPr>
      <w:r>
        <w:rPr>
          <w:rFonts w:ascii="黑体" w:hAnsi="黑体" w:eastAsia="黑体"/>
          <w:sz w:val="32"/>
        </w:rPr>
        <w:t>二、机构设置及人员情况</w:t>
      </w:r>
    </w:p>
    <w:p w14:paraId="6E58CE18">
      <w:pPr>
        <w:spacing w:line="580" w:lineRule="exact"/>
        <w:ind w:firstLine="640"/>
        <w:jc w:val="both"/>
      </w:pPr>
      <w:r>
        <w:rPr>
          <w:rFonts w:ascii="仿宋_GB2312" w:hAnsi="仿宋_GB2312" w:eastAsia="仿宋_GB2312"/>
          <w:sz w:val="32"/>
        </w:rPr>
        <w:t>中共昌吉回族自治州委员会政策研究室2024年度，实有人数34人，其中：在职人员19人，增加0人；离休人员0人，增加0人；退休人员15人,增加2人。</w:t>
      </w:r>
    </w:p>
    <w:p w14:paraId="3AF6E71E">
      <w:pPr>
        <w:spacing w:line="580" w:lineRule="exact"/>
        <w:ind w:firstLine="640"/>
        <w:jc w:val="both"/>
      </w:pPr>
      <w:r>
        <w:rPr>
          <w:rFonts w:ascii="仿宋_GB2312" w:hAnsi="仿宋_GB2312" w:eastAsia="仿宋_GB2312"/>
          <w:sz w:val="32"/>
        </w:rPr>
        <w:t>中共昌吉回族自治州委员会政策研究室无下属预算单位，下设6个科室，分别是：办公室（组织人事科）、综合研究科、党建政治研究科、经济研究科、社会发展研究科、改革联络科。</w:t>
      </w:r>
    </w:p>
    <w:p w14:paraId="5038CF39">
      <w:r>
        <w:br w:type="page"/>
      </w:r>
    </w:p>
    <w:p w14:paraId="134B4D05">
      <w:pPr>
        <w:spacing w:line="240" w:lineRule="auto"/>
        <w:jc w:val="center"/>
        <w:outlineLvl w:val="1"/>
      </w:pPr>
      <w:r>
        <w:rPr>
          <w:rFonts w:ascii="黑体" w:hAnsi="黑体" w:eastAsia="黑体"/>
          <w:sz w:val="32"/>
        </w:rPr>
        <w:t>第二部分 部门决算情况说明</w:t>
      </w:r>
    </w:p>
    <w:p w14:paraId="28207ADF">
      <w:pPr>
        <w:spacing w:line="640" w:lineRule="exact"/>
        <w:ind w:firstLine="640"/>
        <w:jc w:val="both"/>
        <w:outlineLvl w:val="2"/>
      </w:pPr>
      <w:r>
        <w:rPr>
          <w:rFonts w:ascii="黑体" w:hAnsi="黑体" w:eastAsia="黑体"/>
          <w:sz w:val="32"/>
        </w:rPr>
        <w:t>一、收入支出决算总体情况说明</w:t>
      </w:r>
    </w:p>
    <w:p w14:paraId="5CF9C867">
      <w:pPr>
        <w:spacing w:line="580" w:lineRule="exact"/>
        <w:ind w:firstLine="640"/>
        <w:jc w:val="both"/>
      </w:pPr>
      <w:r>
        <w:rPr>
          <w:rFonts w:ascii="仿宋_GB2312" w:hAnsi="仿宋_GB2312" w:eastAsia="仿宋_GB2312"/>
          <w:b/>
          <w:sz w:val="32"/>
        </w:rPr>
        <w:t>2024年度收入总计459.00万元，</w:t>
      </w:r>
      <w:r>
        <w:rPr>
          <w:rFonts w:ascii="仿宋_GB2312" w:hAnsi="仿宋_GB2312" w:eastAsia="仿宋_GB2312"/>
          <w:b w:val="0"/>
          <w:sz w:val="32"/>
        </w:rPr>
        <w:t>其中：本年收入合计456.82万元，使用非财政拨款结余（含专用结余）0.00万元，年初结转和结余2.18万元。</w:t>
      </w:r>
    </w:p>
    <w:p w14:paraId="33160006">
      <w:pPr>
        <w:spacing w:line="580" w:lineRule="exact"/>
        <w:ind w:firstLine="640"/>
        <w:jc w:val="both"/>
      </w:pPr>
      <w:r>
        <w:rPr>
          <w:rFonts w:ascii="仿宋_GB2312" w:hAnsi="仿宋_GB2312" w:eastAsia="仿宋_GB2312"/>
          <w:b/>
          <w:sz w:val="32"/>
        </w:rPr>
        <w:t>2024年度支出总计459.00万元，</w:t>
      </w:r>
      <w:r>
        <w:rPr>
          <w:rFonts w:ascii="仿宋_GB2312" w:hAnsi="仿宋_GB2312" w:eastAsia="仿宋_GB2312"/>
          <w:b w:val="0"/>
          <w:sz w:val="32"/>
        </w:rPr>
        <w:t>其中：本年支出合计457.36万元，结余分配0.00万元，年末结转和结余1.64万元。</w:t>
      </w:r>
    </w:p>
    <w:p w14:paraId="2D614A1D">
      <w:pPr>
        <w:spacing w:line="580" w:lineRule="exact"/>
        <w:ind w:firstLine="640"/>
        <w:jc w:val="both"/>
      </w:pPr>
      <w:r>
        <w:rPr>
          <w:rFonts w:ascii="仿宋_GB2312" w:hAnsi="仿宋_GB2312" w:eastAsia="仿宋_GB2312"/>
          <w:b w:val="0"/>
          <w:sz w:val="32"/>
        </w:rPr>
        <w:t>收入支出总体与上年相比，减少47.82万元，下降9.44%，主要原因是：本年人员调入调出，退休，人员职级不同，基数不同，导致人员经费减少；减少第三方满意度评估项目费用。</w:t>
      </w:r>
    </w:p>
    <w:p w14:paraId="1886DECA">
      <w:pPr>
        <w:spacing w:line="640" w:lineRule="exact"/>
        <w:ind w:firstLine="640"/>
        <w:jc w:val="both"/>
        <w:outlineLvl w:val="2"/>
      </w:pPr>
      <w:r>
        <w:rPr>
          <w:rFonts w:ascii="黑体" w:hAnsi="黑体" w:eastAsia="黑体"/>
          <w:sz w:val="32"/>
        </w:rPr>
        <w:t>二、收入决算情况说明</w:t>
      </w:r>
    </w:p>
    <w:p w14:paraId="33551E4C">
      <w:pPr>
        <w:spacing w:line="580" w:lineRule="exact"/>
        <w:ind w:firstLine="640"/>
        <w:jc w:val="both"/>
      </w:pPr>
      <w:r>
        <w:rPr>
          <w:rFonts w:ascii="仿宋_GB2312" w:hAnsi="仿宋_GB2312" w:eastAsia="仿宋_GB2312"/>
          <w:b/>
          <w:sz w:val="32"/>
        </w:rPr>
        <w:t>本年收入456.82万元，</w:t>
      </w:r>
      <w:r>
        <w:rPr>
          <w:rFonts w:ascii="仿宋_GB2312" w:hAnsi="仿宋_GB2312" w:eastAsia="仿宋_GB2312"/>
          <w:b w:val="0"/>
          <w:sz w:val="32"/>
        </w:rPr>
        <w:t>其中：财政拨款收入452.38万元，占99.03%；上级补助收入0.00万元，占0.00%；事业收入0.00万元，占0.00%；经营收入0.00万元，占0.00%；附属单位上缴收入0.00万元，占0.00%；其他收入4.44万元，占0.97%。</w:t>
      </w:r>
    </w:p>
    <w:p w14:paraId="56F90EE8">
      <w:pPr>
        <w:spacing w:line="640" w:lineRule="exact"/>
        <w:ind w:firstLine="640"/>
        <w:jc w:val="both"/>
        <w:outlineLvl w:val="2"/>
      </w:pPr>
      <w:r>
        <w:rPr>
          <w:rFonts w:ascii="黑体" w:hAnsi="黑体" w:eastAsia="黑体"/>
          <w:sz w:val="32"/>
        </w:rPr>
        <w:t>三、支出决算情况说明</w:t>
      </w:r>
    </w:p>
    <w:p w14:paraId="7F2D9E29">
      <w:pPr>
        <w:spacing w:line="580" w:lineRule="exact"/>
        <w:ind w:firstLine="640"/>
        <w:jc w:val="both"/>
      </w:pPr>
      <w:r>
        <w:rPr>
          <w:rFonts w:ascii="仿宋_GB2312" w:hAnsi="仿宋_GB2312" w:eastAsia="仿宋_GB2312"/>
          <w:b/>
          <w:sz w:val="32"/>
        </w:rPr>
        <w:t>本年支出457.36万元，</w:t>
      </w:r>
      <w:r>
        <w:rPr>
          <w:rFonts w:ascii="仿宋_GB2312" w:hAnsi="仿宋_GB2312" w:eastAsia="仿宋_GB2312"/>
          <w:b w:val="0"/>
          <w:sz w:val="32"/>
        </w:rPr>
        <w:t>其中：基本支出414.81万元，占90.70%；项目支出42.55万元，占9.30%；上缴上级支出0.00万元，占0.00%；经营支出0.00万元，占0.00%；对附属单位补助支出0.00万元，占0.00%。</w:t>
      </w:r>
    </w:p>
    <w:p w14:paraId="308CBFC2">
      <w:pPr>
        <w:spacing w:line="640" w:lineRule="exact"/>
        <w:ind w:firstLine="640"/>
        <w:jc w:val="both"/>
        <w:outlineLvl w:val="2"/>
      </w:pPr>
      <w:r>
        <w:rPr>
          <w:rFonts w:ascii="黑体" w:hAnsi="黑体" w:eastAsia="黑体"/>
          <w:sz w:val="32"/>
        </w:rPr>
        <w:t>四、财政拨款收入支出决算总体情况说明</w:t>
      </w:r>
    </w:p>
    <w:p w14:paraId="0045676C">
      <w:pPr>
        <w:spacing w:line="580" w:lineRule="exact"/>
        <w:ind w:firstLine="640"/>
        <w:jc w:val="both"/>
      </w:pPr>
      <w:r>
        <w:rPr>
          <w:rFonts w:ascii="仿宋_GB2312" w:hAnsi="仿宋_GB2312" w:eastAsia="仿宋_GB2312"/>
          <w:b/>
          <w:sz w:val="32"/>
        </w:rPr>
        <w:t>2024年度财政拨款收入总计452.38万元，</w:t>
      </w:r>
      <w:r>
        <w:rPr>
          <w:rFonts w:ascii="仿宋_GB2312" w:hAnsi="仿宋_GB2312" w:eastAsia="仿宋_GB2312"/>
          <w:b w:val="0"/>
          <w:sz w:val="32"/>
        </w:rPr>
        <w:t>其中：年初财政拨款结转和结余0.00万元，本年财政拨款收入452.38万元。</w:t>
      </w:r>
      <w:r>
        <w:rPr>
          <w:rFonts w:ascii="仿宋_GB2312" w:hAnsi="仿宋_GB2312" w:eastAsia="仿宋_GB2312"/>
          <w:b/>
          <w:sz w:val="32"/>
        </w:rPr>
        <w:t>财政拨款支出总计452.38万元，</w:t>
      </w:r>
      <w:r>
        <w:rPr>
          <w:rFonts w:ascii="仿宋_GB2312" w:hAnsi="仿宋_GB2312" w:eastAsia="仿宋_GB2312"/>
          <w:b w:val="0"/>
          <w:sz w:val="32"/>
        </w:rPr>
        <w:t>其中：年末财政拨款结转和结余0.00万元，本年财政拨款支出452.38万元。</w:t>
      </w:r>
    </w:p>
    <w:p w14:paraId="360B34A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减少47.21万元，下降9.45%，主要原因是：本年人员调入调出，退休，人员职级不同，基数不同，导致人员经费减少；减少第三方满意度评估项目费用。</w:t>
      </w:r>
      <w:r>
        <w:rPr>
          <w:rFonts w:ascii="仿宋_GB2312" w:hAnsi="仿宋_GB2312" w:eastAsia="仿宋_GB2312"/>
          <w:b/>
          <w:sz w:val="32"/>
        </w:rPr>
        <w:t>与年初预算相比，</w:t>
      </w:r>
      <w:r>
        <w:rPr>
          <w:rFonts w:ascii="仿宋_GB2312" w:hAnsi="仿宋_GB2312" w:eastAsia="仿宋_GB2312"/>
          <w:b w:val="0"/>
          <w:sz w:val="32"/>
        </w:rPr>
        <w:t>年初预算数472.78万元，决算数452.38万元，预决算差异率-4.31%，主要原因是：本年人员调入调出，退休，人员职级不同，基数不同，导致人员经费减少，年中调减人员经费及第三方满意度评估项目费用，导致预决算产生差异。</w:t>
      </w:r>
    </w:p>
    <w:p w14:paraId="6242BCFC">
      <w:pPr>
        <w:spacing w:line="640" w:lineRule="exact"/>
        <w:ind w:firstLine="640"/>
        <w:jc w:val="both"/>
        <w:outlineLvl w:val="2"/>
      </w:pPr>
      <w:r>
        <w:rPr>
          <w:rFonts w:ascii="黑体" w:hAnsi="黑体" w:eastAsia="黑体"/>
          <w:sz w:val="32"/>
        </w:rPr>
        <w:t>五、一般公共预算财政拨款支出决算情况说明</w:t>
      </w:r>
    </w:p>
    <w:p w14:paraId="42DD4CC5">
      <w:pPr>
        <w:spacing w:line="640" w:lineRule="exact"/>
        <w:ind w:firstLine="640"/>
        <w:jc w:val="both"/>
        <w:outlineLvl w:val="3"/>
      </w:pPr>
      <w:r>
        <w:rPr>
          <w:rFonts w:ascii="楷体_GB2312" w:hAnsi="楷体_GB2312" w:eastAsia="楷体_GB2312"/>
          <w:b/>
          <w:sz w:val="32"/>
        </w:rPr>
        <w:t>（一）一般公共预算财政拨款支出决算总体情况</w:t>
      </w:r>
    </w:p>
    <w:p w14:paraId="048F4C2D">
      <w:pPr>
        <w:spacing w:line="580" w:lineRule="exact"/>
        <w:ind w:firstLine="640"/>
        <w:jc w:val="both"/>
      </w:pPr>
      <w:r>
        <w:rPr>
          <w:rFonts w:ascii="仿宋_GB2312" w:hAnsi="仿宋_GB2312" w:eastAsia="仿宋_GB2312"/>
          <w:b/>
          <w:sz w:val="32"/>
        </w:rPr>
        <w:t>2024年度一般公共预算财政拨款支出452.38万元，</w:t>
      </w:r>
      <w:r>
        <w:rPr>
          <w:rFonts w:ascii="仿宋_GB2312" w:hAnsi="仿宋_GB2312" w:eastAsia="仿宋_GB2312"/>
          <w:b w:val="0"/>
          <w:sz w:val="32"/>
        </w:rPr>
        <w:t>占本年支出合计的98.91%。</w:t>
      </w:r>
      <w:r>
        <w:rPr>
          <w:rFonts w:ascii="仿宋_GB2312" w:hAnsi="仿宋_GB2312" w:eastAsia="仿宋_GB2312"/>
          <w:b/>
          <w:sz w:val="32"/>
        </w:rPr>
        <w:t>与上年相比，</w:t>
      </w:r>
      <w:r>
        <w:rPr>
          <w:rFonts w:ascii="仿宋_GB2312" w:hAnsi="仿宋_GB2312" w:eastAsia="仿宋_GB2312"/>
          <w:b w:val="0"/>
          <w:sz w:val="32"/>
        </w:rPr>
        <w:t>减少47.21万元，下降9.45%，主要原因是：本年人员调入调出，退休，人员职级不同，基数不同，导致人员经费减少；减少第三方满意度评估项目费用。</w:t>
      </w:r>
      <w:r>
        <w:rPr>
          <w:rFonts w:ascii="仿宋_GB2312" w:hAnsi="仿宋_GB2312" w:eastAsia="仿宋_GB2312"/>
          <w:b/>
          <w:sz w:val="32"/>
        </w:rPr>
        <w:t>与年初预算相比,</w:t>
      </w:r>
      <w:r>
        <w:rPr>
          <w:rFonts w:ascii="仿宋_GB2312" w:hAnsi="仿宋_GB2312" w:eastAsia="仿宋_GB2312"/>
          <w:b w:val="0"/>
          <w:sz w:val="32"/>
        </w:rPr>
        <w:t>年初预算数472.78万元，决算数452.38万元，预决算差异率-4.31%，主要原因是：本年人员调入调出，退休，人员职级不同，基数不同，导致人员经费减少，年中调减人员经费及第三方满意度评估项目费用，导致预决算产生差异。</w:t>
      </w:r>
    </w:p>
    <w:p w14:paraId="7B68E84B">
      <w:pPr>
        <w:spacing w:line="640" w:lineRule="exact"/>
        <w:ind w:firstLine="640"/>
        <w:jc w:val="both"/>
        <w:outlineLvl w:val="3"/>
      </w:pPr>
      <w:r>
        <w:rPr>
          <w:rFonts w:ascii="楷体_GB2312" w:hAnsi="楷体_GB2312" w:eastAsia="楷体_GB2312"/>
          <w:b/>
          <w:sz w:val="32"/>
        </w:rPr>
        <w:t>（二）一般公共预算财政拨款支出决算结构情况</w:t>
      </w:r>
    </w:p>
    <w:p w14:paraId="768A46A4">
      <w:pPr>
        <w:spacing w:line="580" w:lineRule="exact"/>
        <w:ind w:firstLine="640"/>
        <w:jc w:val="both"/>
      </w:pPr>
      <w:r>
        <w:rPr>
          <w:rFonts w:ascii="仿宋_GB2312" w:hAnsi="仿宋_GB2312" w:eastAsia="仿宋_GB2312"/>
          <w:b w:val="0"/>
          <w:sz w:val="32"/>
        </w:rPr>
        <w:t>1.一般公共服务支出(类)322.34万元,占71.25%。</w:t>
      </w:r>
    </w:p>
    <w:p w14:paraId="0B11BDF0">
      <w:pPr>
        <w:spacing w:line="580" w:lineRule="exact"/>
        <w:ind w:firstLine="640"/>
        <w:jc w:val="both"/>
      </w:pPr>
      <w:r>
        <w:rPr>
          <w:rFonts w:ascii="仿宋_GB2312" w:hAnsi="仿宋_GB2312" w:eastAsia="仿宋_GB2312"/>
          <w:b w:val="0"/>
          <w:sz w:val="32"/>
        </w:rPr>
        <w:t>2.社会保障和就业支出(类)84.83万元,占18.75%。</w:t>
      </w:r>
    </w:p>
    <w:p w14:paraId="13486FF8">
      <w:pPr>
        <w:spacing w:line="580" w:lineRule="exact"/>
        <w:ind w:firstLine="640"/>
        <w:jc w:val="both"/>
      </w:pPr>
      <w:r>
        <w:rPr>
          <w:rFonts w:ascii="仿宋_GB2312" w:hAnsi="仿宋_GB2312" w:eastAsia="仿宋_GB2312"/>
          <w:b w:val="0"/>
          <w:sz w:val="32"/>
        </w:rPr>
        <w:t>3.卫生健康支出(类)18.83万元,占4.16%。</w:t>
      </w:r>
    </w:p>
    <w:p w14:paraId="10C1AB2D">
      <w:pPr>
        <w:spacing w:line="580" w:lineRule="exact"/>
        <w:ind w:firstLine="640"/>
        <w:jc w:val="both"/>
      </w:pPr>
      <w:r>
        <w:rPr>
          <w:rFonts w:ascii="仿宋_GB2312" w:hAnsi="仿宋_GB2312" w:eastAsia="仿宋_GB2312"/>
          <w:b w:val="0"/>
          <w:sz w:val="32"/>
        </w:rPr>
        <w:t>4.住房保障支出(类)26.39万元,占5.83%。</w:t>
      </w:r>
    </w:p>
    <w:p w14:paraId="173BF30B">
      <w:pPr>
        <w:spacing w:line="640" w:lineRule="exact"/>
        <w:ind w:firstLine="640"/>
        <w:jc w:val="both"/>
        <w:outlineLvl w:val="3"/>
      </w:pPr>
      <w:r>
        <w:rPr>
          <w:rFonts w:ascii="楷体_GB2312" w:hAnsi="楷体_GB2312" w:eastAsia="楷体_GB2312"/>
          <w:b/>
          <w:sz w:val="32"/>
        </w:rPr>
        <w:t>（三）一般公共预算财政拨款支出决算具体情况</w:t>
      </w:r>
    </w:p>
    <w:p w14:paraId="5129DA0A">
      <w:pPr>
        <w:spacing w:line="580" w:lineRule="exact"/>
        <w:ind w:firstLine="640"/>
        <w:jc w:val="both"/>
      </w:pPr>
      <w:r>
        <w:rPr>
          <w:rFonts w:ascii="仿宋_GB2312" w:hAnsi="仿宋_GB2312" w:eastAsia="仿宋_GB2312"/>
          <w:b w:val="0"/>
          <w:sz w:val="32"/>
        </w:rPr>
        <w:t>1.一般公共服务支出(类)党委办公厅（室）及相关机构事务(款)事业运行(项):支出决算数为3.60万元，比上年决算增加3.60万元，增长100.00%,主要原因是：昌吉州决策信息中心2024年度引进高层次人才2人，导致人员经费增加。</w:t>
      </w:r>
    </w:p>
    <w:p w14:paraId="39DA103A">
      <w:pPr>
        <w:spacing w:line="580" w:lineRule="exact"/>
        <w:ind w:firstLine="640"/>
        <w:jc w:val="both"/>
      </w:pPr>
      <w:r>
        <w:rPr>
          <w:rFonts w:ascii="仿宋_GB2312" w:hAnsi="仿宋_GB2312" w:eastAsia="仿宋_GB2312"/>
          <w:b w:val="0"/>
          <w:sz w:val="32"/>
        </w:rPr>
        <w:t>2.一般公共服务支出(类)</w:t>
      </w:r>
      <w:bookmarkStart w:id="0" w:name="_GoBack"/>
      <w:r>
        <w:rPr>
          <w:rFonts w:ascii="仿宋_GB2312" w:hAnsi="仿宋_GB2312" w:eastAsia="仿宋_GB2312"/>
          <w:b w:val="0"/>
          <w:sz w:val="32"/>
        </w:rPr>
        <w:t>统战</w:t>
      </w:r>
      <w:bookmarkEnd w:id="0"/>
      <w:r>
        <w:rPr>
          <w:rFonts w:ascii="仿宋_GB2312" w:hAnsi="仿宋_GB2312" w:eastAsia="仿宋_GB2312"/>
          <w:b w:val="0"/>
          <w:sz w:val="32"/>
        </w:rPr>
        <w:t>事务(款)宗教事务(项):支出决算数为0.00万元，比上年决算减少1.20万元，下降100.00%,主要原因是：本年度单位无管寺人员，导致经费较上年减少。</w:t>
      </w:r>
    </w:p>
    <w:p w14:paraId="28AD5F21">
      <w:pPr>
        <w:spacing w:line="580" w:lineRule="exact"/>
        <w:ind w:firstLine="640"/>
        <w:jc w:val="both"/>
      </w:pPr>
      <w:r>
        <w:rPr>
          <w:rFonts w:ascii="仿宋_GB2312" w:hAnsi="仿宋_GB2312" w:eastAsia="仿宋_GB2312"/>
          <w:b w:val="0"/>
          <w:sz w:val="32"/>
        </w:rPr>
        <w:t>3.一般公共服务支出(类)其他共产党事务支出(款)行政运行(项):支出决算数为240.07万元，比上年决算减少16.14万元，下降6.30%,主要原因是：本年人员调入调出，退休，人员职级不同，基数不同，导致人员经费减少。</w:t>
      </w:r>
    </w:p>
    <w:p w14:paraId="3DB69E70">
      <w:pPr>
        <w:spacing w:line="580" w:lineRule="exact"/>
        <w:ind w:firstLine="640"/>
        <w:jc w:val="both"/>
      </w:pPr>
      <w:r>
        <w:rPr>
          <w:rFonts w:ascii="仿宋_GB2312" w:hAnsi="仿宋_GB2312" w:eastAsia="仿宋_GB2312"/>
          <w:b w:val="0"/>
          <w:sz w:val="32"/>
        </w:rPr>
        <w:t>4.一般公共服务支出(类)其他共产党事务支出(款)一般行政管理事务(项):支出决算数为37.57万元，比上年决算减少52.00万元，下降58.06%,主要原因是：本年减少第三方满意度评估项目费用。</w:t>
      </w:r>
    </w:p>
    <w:p w14:paraId="3E89BD38">
      <w:pPr>
        <w:spacing w:line="580" w:lineRule="exact"/>
        <w:ind w:firstLine="640"/>
        <w:jc w:val="both"/>
      </w:pPr>
      <w:r>
        <w:rPr>
          <w:rFonts w:ascii="仿宋_GB2312" w:hAnsi="仿宋_GB2312" w:eastAsia="仿宋_GB2312"/>
          <w:b w:val="0"/>
          <w:sz w:val="32"/>
        </w:rPr>
        <w:t>5.一般公共服务支出(类)其他共产党事务支出(款)事业运行(项):支出决算数为41.09万元，比上年决算减少4.78万元，下降10.42%,主要原因是：本年在职人员调入调出，人员职级不同，工资基数不同，导致人员经费较上年减少。</w:t>
      </w:r>
    </w:p>
    <w:p w14:paraId="129937C4">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6.社会保障和就业支出(类)行政事业单位养老支出(款)行政单位离退休(项):支出决算数为8.99万元，比上年决算增加3.13万元，增长53.41%,主要原因是：本年退休人员增加，退休费支出增加。</w:t>
      </w:r>
    </w:p>
    <w:p w14:paraId="7744A1E8">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34.00万元，比上年决算减少0.52万元，下降1.51%,主要原因是：本年在职人员调入调出，人员职级不同，缴费基数不同，导致养老保险缴费较上年减少。</w:t>
      </w:r>
    </w:p>
    <w:p w14:paraId="6B69E6FB">
      <w:pPr>
        <w:spacing w:line="580" w:lineRule="exact"/>
        <w:ind w:firstLine="640"/>
        <w:jc w:val="both"/>
        <w:rPr>
          <w:spacing w:val="-6"/>
          <w:sz w:val="32"/>
        </w:rPr>
      </w:pPr>
      <w:r>
        <w:rPr>
          <w:rFonts w:ascii="仿宋_GB2312" w:hAnsi="仿宋_GB2312" w:eastAsia="仿宋_GB2312"/>
          <w:b w:val="0"/>
          <w:spacing w:val="-6"/>
          <w:sz w:val="32"/>
        </w:rPr>
        <w:t>8.社会保障和就业支出(类)行政事业单位养老支出(款)机关事业单位职业年金缴费支出(项):支出决算数为41.84万元，比上年决算增加24.58万元，增长142.41%,主要原因是：一是本年新增退休人员及调出人员，职业年金缴费支出增加；二是本年在职人员工资基数调增，职业年金缴费基数上涨，相应支出增加。</w:t>
      </w:r>
    </w:p>
    <w:p w14:paraId="0EC029E7">
      <w:pPr>
        <w:spacing w:line="580" w:lineRule="exact"/>
        <w:ind w:firstLine="640"/>
        <w:jc w:val="both"/>
      </w:pPr>
      <w:r>
        <w:rPr>
          <w:rFonts w:ascii="仿宋_GB2312" w:hAnsi="仿宋_GB2312" w:eastAsia="仿宋_GB2312"/>
          <w:b w:val="0"/>
          <w:sz w:val="32"/>
        </w:rPr>
        <w:t>9.卫生健康支出(类)行政事业单位医疗(款)行政单位医疗(项):支出决算数为14.79万元，比上年决算增加0.57万元，增长4.01%,主要原因是：本年在职人员工资基数调增，医疗缴费基数上涨，相应支出增加。</w:t>
      </w:r>
    </w:p>
    <w:p w14:paraId="4312FFD2">
      <w:pPr>
        <w:spacing w:line="580" w:lineRule="exact"/>
        <w:ind w:firstLine="640"/>
        <w:jc w:val="both"/>
      </w:pPr>
      <w:r>
        <w:rPr>
          <w:rFonts w:ascii="仿宋_GB2312" w:hAnsi="仿宋_GB2312" w:eastAsia="仿宋_GB2312"/>
          <w:b w:val="0"/>
          <w:sz w:val="32"/>
        </w:rPr>
        <w:t>10.卫生健康支出(类)行政事业单位医疗(款)事业单位医疗(项):支出决算数为2.84万元，比上年决算减少0.20万元，下降6.58%,主要原因是：本年在职人员调入调出，人员职级不同，缴费基数不同，导致事业单位医疗较上年减少。</w:t>
      </w:r>
    </w:p>
    <w:p w14:paraId="4C8A0C7E">
      <w:pPr>
        <w:spacing w:line="580" w:lineRule="exact"/>
        <w:ind w:firstLine="640"/>
        <w:jc w:val="both"/>
      </w:pPr>
      <w:r>
        <w:rPr>
          <w:rFonts w:ascii="仿宋_GB2312" w:hAnsi="仿宋_GB2312" w:eastAsia="仿宋_GB2312"/>
          <w:b w:val="0"/>
          <w:sz w:val="32"/>
        </w:rPr>
        <w:t>11.卫生健康支出(类)行政事业单位医疗(款)公务员医疗补助(项):支出决算数为1.09万元，比上年决算增加0.01万元，增长0.93%,主要原因是：本年在职人员工资基数调增，医疗缴费基数上涨，相应支出增加。</w:t>
      </w:r>
    </w:p>
    <w:p w14:paraId="746298D6">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0.11万元，比上年决算减少0.08万元，下降42.11%,主要原因是：本年在职人员调入调出，人员职级不同，缴费基数不同，导致其他行政事业单位医疗较上年减少。</w:t>
      </w:r>
    </w:p>
    <w:p w14:paraId="18E93F81">
      <w:pPr>
        <w:spacing w:line="580" w:lineRule="exact"/>
        <w:ind w:firstLine="640"/>
        <w:jc w:val="both"/>
      </w:pPr>
      <w:r>
        <w:rPr>
          <w:rFonts w:ascii="仿宋_GB2312" w:hAnsi="仿宋_GB2312" w:eastAsia="仿宋_GB2312"/>
          <w:b w:val="0"/>
          <w:sz w:val="32"/>
        </w:rPr>
        <w:t>13.住房保障支出(类)住房改革支出(款)住房公积金(项):支出决算数为26.39万元，比上年决算减少0.15万元，下降0.57%,主要原因是：本年在职人员调入调出，人员职级不同，缴费基数不同，导致住房公积金较上年减少。</w:t>
      </w:r>
    </w:p>
    <w:p w14:paraId="306AE56E">
      <w:pPr>
        <w:spacing w:line="580" w:lineRule="exact"/>
        <w:ind w:firstLine="640"/>
        <w:jc w:val="both"/>
      </w:pPr>
      <w:r>
        <w:rPr>
          <w:rFonts w:ascii="仿宋_GB2312" w:hAnsi="仿宋_GB2312" w:eastAsia="仿宋_GB2312"/>
          <w:b w:val="0"/>
          <w:sz w:val="32"/>
        </w:rPr>
        <w:t>14.其他支出(类)其他支出(款)其他支出(项):支出决算数为0.00万元，比上年决算减少4.04万元，下降100.00%,主要原因是：本年减少为民办实事经费。</w:t>
      </w:r>
    </w:p>
    <w:p w14:paraId="79331657">
      <w:pPr>
        <w:spacing w:line="640" w:lineRule="exact"/>
        <w:ind w:firstLine="640"/>
        <w:jc w:val="both"/>
        <w:outlineLvl w:val="2"/>
      </w:pPr>
      <w:r>
        <w:rPr>
          <w:rFonts w:ascii="黑体" w:hAnsi="黑体" w:eastAsia="黑体"/>
          <w:sz w:val="32"/>
        </w:rPr>
        <w:t>六、一般公共预算财政拨款基本支出决算情况说明</w:t>
      </w:r>
    </w:p>
    <w:p w14:paraId="7BBC6C7F">
      <w:pPr>
        <w:spacing w:line="580" w:lineRule="exact"/>
        <w:ind w:firstLine="640"/>
        <w:jc w:val="both"/>
      </w:pPr>
      <w:r>
        <w:rPr>
          <w:rFonts w:ascii="仿宋_GB2312" w:hAnsi="仿宋_GB2312" w:eastAsia="仿宋_GB2312"/>
          <w:b w:val="0"/>
          <w:sz w:val="32"/>
        </w:rPr>
        <w:t>2024年度一般公共预算财政拨款基本支出414.81万元，其中：</w:t>
      </w:r>
      <w:r>
        <w:rPr>
          <w:rFonts w:ascii="仿宋_GB2312" w:hAnsi="仿宋_GB2312" w:eastAsia="仿宋_GB2312"/>
          <w:b/>
          <w:sz w:val="32"/>
        </w:rPr>
        <w:t>人员经费391.74万元，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16049627">
      <w:pPr>
        <w:spacing w:line="580" w:lineRule="exact"/>
        <w:ind w:firstLine="640"/>
        <w:jc w:val="both"/>
      </w:pPr>
      <w:r>
        <w:rPr>
          <w:rFonts w:ascii="仿宋_GB2312" w:hAnsi="仿宋_GB2312" w:eastAsia="仿宋_GB2312"/>
          <w:b/>
          <w:sz w:val="32"/>
        </w:rPr>
        <w:t>公用经费23.07万元，</w:t>
      </w:r>
      <w:r>
        <w:rPr>
          <w:rFonts w:ascii="仿宋_GB2312" w:hAnsi="仿宋_GB2312" w:eastAsia="仿宋_GB2312"/>
          <w:b w:val="0"/>
          <w:sz w:val="32"/>
        </w:rPr>
        <w:t>包括：办公费、印刷费、手续费、水费、电费、邮电费、取暖费、差旅费、培训费、公务接待费、劳务费、工会经费、福利费、公务用车运行维护费、其他交通费用、其他商品和服务支出。</w:t>
      </w:r>
    </w:p>
    <w:p w14:paraId="6C65A202">
      <w:pPr>
        <w:spacing w:line="640" w:lineRule="exact"/>
        <w:ind w:firstLine="640"/>
        <w:jc w:val="both"/>
        <w:outlineLvl w:val="2"/>
      </w:pPr>
      <w:r>
        <w:rPr>
          <w:rFonts w:ascii="黑体" w:hAnsi="黑体" w:eastAsia="黑体"/>
          <w:sz w:val="32"/>
        </w:rPr>
        <w:t>七、政府性基金预算财政拨款收入支出决算情况说明</w:t>
      </w:r>
    </w:p>
    <w:p w14:paraId="30C4D0B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DA37769">
      <w:pPr>
        <w:spacing w:line="640" w:lineRule="exact"/>
        <w:ind w:firstLine="640"/>
        <w:jc w:val="both"/>
        <w:outlineLvl w:val="2"/>
      </w:pPr>
      <w:r>
        <w:rPr>
          <w:rFonts w:ascii="黑体" w:hAnsi="黑体" w:eastAsia="黑体"/>
          <w:sz w:val="32"/>
        </w:rPr>
        <w:t>八、国有资本经营预算财政拨款收入支出决算情况说明</w:t>
      </w:r>
    </w:p>
    <w:p w14:paraId="5C38089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33148DC">
      <w:pPr>
        <w:spacing w:line="640" w:lineRule="exact"/>
        <w:ind w:firstLine="640"/>
        <w:jc w:val="both"/>
        <w:outlineLvl w:val="2"/>
      </w:pPr>
      <w:r>
        <w:rPr>
          <w:rFonts w:ascii="黑体" w:hAnsi="黑体" w:eastAsia="黑体"/>
          <w:sz w:val="32"/>
        </w:rPr>
        <w:t>九、财政拨款“三公”经费支出决算情况说明</w:t>
      </w:r>
    </w:p>
    <w:p w14:paraId="480B10E7">
      <w:pPr>
        <w:spacing w:line="580" w:lineRule="exact"/>
        <w:ind w:firstLine="640"/>
        <w:jc w:val="both"/>
      </w:pPr>
      <w:r>
        <w:rPr>
          <w:rFonts w:ascii="仿宋_GB2312" w:hAnsi="仿宋_GB2312" w:eastAsia="仿宋_GB2312"/>
          <w:b/>
          <w:sz w:val="32"/>
        </w:rPr>
        <w:t>2024年度财政拨款“三公”经费支出7.58万元，</w:t>
      </w:r>
      <w:r>
        <w:rPr>
          <w:rFonts w:ascii="仿宋_GB2312" w:hAnsi="仿宋_GB2312" w:eastAsia="仿宋_GB2312"/>
          <w:b w:val="0"/>
          <w:sz w:val="32"/>
        </w:rPr>
        <w:t>比上年增加1.83万元，增长31.83%，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7.13万元，占94.06%，比上年增加1.89万元，增长36.07%，主要原因是：本年因业务需求，用车次数增加，燃油费增加，导致公务用车运行维护费较上年增加。公务接待费支出0.45万元，占5.94%，比上年减少0.06万元，下降11.76%，主要原因是：采取有效措施加强公务接待管理，严格控制公务接待活动，认真执行经费开支标准。</w:t>
      </w:r>
    </w:p>
    <w:p w14:paraId="5A54DFF3">
      <w:pPr>
        <w:spacing w:line="580" w:lineRule="exact"/>
        <w:ind w:firstLine="640"/>
        <w:jc w:val="both"/>
      </w:pPr>
      <w:r>
        <w:rPr>
          <w:rFonts w:ascii="仿宋_GB2312" w:hAnsi="仿宋_GB2312" w:eastAsia="仿宋_GB2312"/>
          <w:b/>
          <w:sz w:val="32"/>
        </w:rPr>
        <w:t>具体情况如下：</w:t>
      </w:r>
    </w:p>
    <w:p w14:paraId="35D0211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325FFAA">
      <w:pPr>
        <w:spacing w:line="580" w:lineRule="exact"/>
        <w:ind w:firstLine="640"/>
        <w:jc w:val="both"/>
      </w:pPr>
      <w:r>
        <w:rPr>
          <w:rFonts w:ascii="仿宋_GB2312" w:hAnsi="仿宋_GB2312" w:eastAsia="仿宋_GB2312"/>
          <w:b w:val="0"/>
          <w:sz w:val="32"/>
        </w:rPr>
        <w:t>公务用车购置及运行维护费7.13万元，其中：公务用车购置费0.00万元，公务用车运行维护费7.13万元。公务用车运行维护费开支内容包括车辆加油费、维修费、保险费、审车费、过路费。公务用车购置数0辆，公务用车保有量1辆。国有资产占用情况中固定资产车辆1辆，与公务用车保有量差异原因是：本单位固定资产车辆与公务用车保有量一致无差异。</w:t>
      </w:r>
    </w:p>
    <w:p w14:paraId="05A9AD7A">
      <w:pPr>
        <w:spacing w:line="580" w:lineRule="exact"/>
        <w:ind w:firstLine="640"/>
        <w:jc w:val="both"/>
      </w:pPr>
      <w:r>
        <w:rPr>
          <w:rFonts w:ascii="仿宋_GB2312" w:hAnsi="仿宋_GB2312" w:eastAsia="仿宋_GB2312"/>
          <w:b w:val="0"/>
          <w:sz w:val="32"/>
        </w:rPr>
        <w:t>公务接待费0.45万元，开支内容包括接待上级领导检查、调研就餐费。单位全年安排的国内公务接待6批次，33人次。</w:t>
      </w:r>
    </w:p>
    <w:p w14:paraId="279CEDB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7.58万元，决算数7.58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7.13万元，决算数7.13万元，预决算差异率0.00%，主要原因是：严格按照预算执行，预决算无差异。公务接待费全年预算数0.45万元，决算数0.45万元，预决算差异率0.00%，主要原因是：严格按照预算执行，预决算无差异。</w:t>
      </w:r>
    </w:p>
    <w:p w14:paraId="30A6AA48">
      <w:pPr>
        <w:spacing w:line="640" w:lineRule="exact"/>
        <w:ind w:firstLine="640"/>
        <w:jc w:val="both"/>
        <w:outlineLvl w:val="2"/>
      </w:pPr>
      <w:r>
        <w:rPr>
          <w:rFonts w:ascii="黑体" w:hAnsi="黑体" w:eastAsia="黑体"/>
          <w:sz w:val="32"/>
        </w:rPr>
        <w:t>十、其他重要事项的情况说明</w:t>
      </w:r>
    </w:p>
    <w:p w14:paraId="01A2A574">
      <w:pPr>
        <w:spacing w:line="640" w:lineRule="exact"/>
        <w:ind w:firstLine="640"/>
        <w:jc w:val="both"/>
        <w:outlineLvl w:val="3"/>
      </w:pPr>
      <w:r>
        <w:rPr>
          <w:rFonts w:ascii="楷体_GB2312" w:hAnsi="楷体_GB2312" w:eastAsia="楷体_GB2312"/>
          <w:b/>
          <w:sz w:val="32"/>
        </w:rPr>
        <w:t>（一）机关运行经费及公用经费支出情况</w:t>
      </w:r>
    </w:p>
    <w:p w14:paraId="3C429438">
      <w:pPr>
        <w:spacing w:line="580" w:lineRule="exact"/>
        <w:ind w:firstLine="640"/>
        <w:jc w:val="both"/>
      </w:pPr>
      <w:r>
        <w:rPr>
          <w:rFonts w:ascii="仿宋_GB2312" w:hAnsi="仿宋_GB2312" w:eastAsia="仿宋_GB2312"/>
          <w:b w:val="0"/>
          <w:sz w:val="32"/>
        </w:rPr>
        <w:t>2024年度中共昌吉回族自治州委员会政策研究室（行政单位和参照公务员法管理事业单位）机关运行经费支出23.07万元，比上年减少13.64万元，下降37.16%，主要原因是：本年部分办公费列入项目支出，导致机关运行经费较上年减少。</w:t>
      </w:r>
    </w:p>
    <w:p w14:paraId="02E48617">
      <w:pPr>
        <w:spacing w:line="640" w:lineRule="exact"/>
        <w:ind w:firstLine="640"/>
        <w:jc w:val="both"/>
        <w:outlineLvl w:val="3"/>
      </w:pPr>
      <w:r>
        <w:rPr>
          <w:rFonts w:ascii="楷体_GB2312" w:hAnsi="楷体_GB2312" w:eastAsia="楷体_GB2312"/>
          <w:b/>
          <w:sz w:val="32"/>
        </w:rPr>
        <w:t>（二）政府采购情况</w:t>
      </w:r>
    </w:p>
    <w:p w14:paraId="7EE3B85C">
      <w:pPr>
        <w:spacing w:line="580" w:lineRule="exact"/>
        <w:ind w:firstLine="640"/>
        <w:jc w:val="both"/>
      </w:pPr>
      <w:r>
        <w:rPr>
          <w:rFonts w:ascii="仿宋_GB2312" w:hAnsi="仿宋_GB2312" w:eastAsia="仿宋_GB2312"/>
          <w:b w:val="0"/>
          <w:sz w:val="32"/>
        </w:rPr>
        <w:t>2024年度政府采购支出总额3.19万元，其中：政府采购货物支出0.03万元、政府采购工程支出3.17万元、政府采购服务支出0.00万元。</w:t>
      </w:r>
    </w:p>
    <w:p w14:paraId="6E3F868B">
      <w:pPr>
        <w:spacing w:line="580" w:lineRule="exact"/>
        <w:ind w:firstLine="640"/>
        <w:jc w:val="both"/>
      </w:pPr>
      <w:r>
        <w:rPr>
          <w:rFonts w:ascii="仿宋_GB2312" w:hAnsi="仿宋_GB2312" w:eastAsia="仿宋_GB2312"/>
          <w:b w:val="0"/>
          <w:sz w:val="32"/>
        </w:rPr>
        <w:t>授予中小企业合同金额3.19万元，占政府采购支出总额的100.00%，其中：授予小微企业合同金额3.19万元，占政府采购支出总额的100.00%。</w:t>
      </w:r>
    </w:p>
    <w:p w14:paraId="30C9B822">
      <w:pPr>
        <w:spacing w:line="640" w:lineRule="exact"/>
        <w:ind w:firstLine="640"/>
        <w:jc w:val="both"/>
        <w:outlineLvl w:val="3"/>
      </w:pPr>
      <w:r>
        <w:rPr>
          <w:rFonts w:ascii="楷体_GB2312" w:hAnsi="楷体_GB2312" w:eastAsia="楷体_GB2312"/>
          <w:b/>
          <w:sz w:val="32"/>
        </w:rPr>
        <w:t>（三）国有资产占用情况说明</w:t>
      </w:r>
    </w:p>
    <w:p w14:paraId="0A14FAAE">
      <w:pPr>
        <w:spacing w:line="580" w:lineRule="exact"/>
        <w:ind w:firstLine="640"/>
        <w:jc w:val="both"/>
      </w:pPr>
      <w:r>
        <w:rPr>
          <w:rFonts w:ascii="仿宋_GB2312" w:hAnsi="仿宋_GB2312" w:eastAsia="仿宋_GB2312"/>
          <w:b w:val="0"/>
          <w:sz w:val="32"/>
        </w:rPr>
        <w:t>截至2024年12月31日，房屋0.00平方米，价值0.00万元。车辆1辆，价值21.49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0A0709A4">
      <w:pPr>
        <w:spacing w:line="640" w:lineRule="exact"/>
        <w:ind w:firstLine="640"/>
        <w:jc w:val="both"/>
        <w:outlineLvl w:val="2"/>
      </w:pPr>
      <w:r>
        <w:rPr>
          <w:rFonts w:ascii="黑体" w:hAnsi="黑体" w:eastAsia="黑体"/>
          <w:sz w:val="32"/>
        </w:rPr>
        <w:t>十一、预算绩效的情况说明</w:t>
      </w:r>
    </w:p>
    <w:p w14:paraId="3B9DE64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459.54万元，实际执行总额457.36万元；预算绩效评价项目3个，全年预算数42.66万元，全年执行数42.55万元。预算绩效管理取得的成效：一是制度建设完全，严格执行相关制度，经费到位及时，项目资金按计划使用，严格按照预算管理规定开支。二是严格坚持先做事、后验收、再拨付的原则，基本杜绝资金被挤占和挪用现象的发生。三是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避免和减少损失，提高资金使用效益。发现的问题及原因：一是绩效管理经验不足</w:t>
      </w:r>
      <w:r>
        <w:rPr>
          <w:rFonts w:hint="eastAsia" w:ascii="仿宋_GB2312" w:hAnsi="仿宋_GB2312" w:eastAsia="仿宋_GB2312"/>
          <w:b w:val="0"/>
          <w:sz w:val="32"/>
          <w:lang w:eastAsia="zh-CN"/>
        </w:rPr>
        <w:t>，绩</w:t>
      </w:r>
      <w:r>
        <w:rPr>
          <w:rFonts w:ascii="仿宋_GB2312" w:hAnsi="仿宋_GB2312" w:eastAsia="仿宋_GB2312"/>
          <w:b w:val="0"/>
          <w:sz w:val="32"/>
        </w:rPr>
        <w:t>效管理全面实行，相关工作人员经验、知识及业务</w:t>
      </w:r>
      <w:r>
        <w:rPr>
          <w:rFonts w:hint="eastAsia" w:ascii="仿宋_GB2312" w:hAnsi="仿宋_GB2312" w:eastAsia="仿宋_GB2312"/>
          <w:b w:val="0"/>
          <w:sz w:val="32"/>
          <w:lang w:eastAsia="zh-CN"/>
        </w:rPr>
        <w:t>有待</w:t>
      </w:r>
      <w:r>
        <w:rPr>
          <w:rFonts w:ascii="仿宋_GB2312" w:hAnsi="仿宋_GB2312" w:eastAsia="仿宋_GB2312"/>
          <w:b w:val="0"/>
          <w:sz w:val="32"/>
        </w:rPr>
        <w:t>提升；二是健全财政绩效评价指标体系，加强工作人员的业务培训和财政绩效管理信息化建设，加大绩效评价结果的运用。下一步改进措施：1、继续加强《中华人民共和国预算法》及《</w:t>
      </w:r>
      <w:r>
        <w:rPr>
          <w:rFonts w:hint="eastAsia" w:ascii="仿宋_GB2312" w:hAnsi="仿宋_GB2312" w:eastAsia="仿宋_GB2312"/>
          <w:b w:val="0"/>
          <w:sz w:val="32"/>
          <w:lang w:eastAsia="zh-CN"/>
        </w:rPr>
        <w:t>中华人民共和国预算法实施条例</w:t>
      </w:r>
      <w:r>
        <w:rPr>
          <w:rFonts w:ascii="仿宋_GB2312" w:hAnsi="仿宋_GB2312" w:eastAsia="仿宋_GB2312"/>
          <w:b w:val="0"/>
          <w:sz w:val="32"/>
        </w:rPr>
        <w:t>》的宣传、学习贯彻力度。科学合理编制预算，要做好编制前的调查研究和分析工作，进一步提高预算的准确性和科学性，减少预算编制的随意性。2、加大预算绩效管理学习力度，贯彻落实相关办法及制度。以提高工作人员素质，以达到预算绩效管理标准化、常态化的要求，最终实现提高绩效管理工作效率及质量的目标；3、本年度，</w:t>
      </w:r>
      <w:r>
        <w:rPr>
          <w:rFonts w:hint="eastAsia" w:ascii="仿宋_GB2312" w:hAnsi="仿宋_GB2312" w:eastAsia="仿宋_GB2312"/>
          <w:b w:val="0"/>
          <w:sz w:val="32"/>
          <w:lang w:eastAsia="zh-CN"/>
        </w:rPr>
        <w:t>本单位</w:t>
      </w:r>
      <w:r>
        <w:rPr>
          <w:rFonts w:ascii="仿宋_GB2312" w:hAnsi="仿宋_GB2312" w:eastAsia="仿宋_GB2312"/>
          <w:b w:val="0"/>
          <w:sz w:val="32"/>
        </w:rPr>
        <w:t>能较好</w:t>
      </w:r>
      <w:r>
        <w:rPr>
          <w:rFonts w:hint="eastAsia" w:ascii="仿宋_GB2312" w:hAnsi="仿宋_GB2312" w:eastAsia="仿宋_GB2312"/>
          <w:b w:val="0"/>
          <w:sz w:val="32"/>
          <w:lang w:eastAsia="zh-CN"/>
        </w:rPr>
        <w:t>地</w:t>
      </w:r>
      <w:r>
        <w:rPr>
          <w:rFonts w:ascii="仿宋_GB2312" w:hAnsi="仿宋_GB2312" w:eastAsia="仿宋_GB2312"/>
          <w:b w:val="0"/>
          <w:sz w:val="32"/>
        </w:rPr>
        <w:t>完成财政预算，在资金使用过程中，严格按照有关文件规定，明确了资金的使用范围，加强资金管理和用途开支，及时发现并纠正存在的问题。做到专款专用，确保项目资金的有效有序使用。具体附整体支出绩效自评表，项目支出绩效自评表和评价报告。</w:t>
      </w:r>
    </w:p>
    <w:p w14:paraId="44118F9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3E420D5">
        <w:tblPrEx>
          <w:tblCellMar>
            <w:top w:w="0" w:type="dxa"/>
            <w:left w:w="108" w:type="dxa"/>
            <w:bottom w:w="0" w:type="dxa"/>
            <w:right w:w="108" w:type="dxa"/>
          </w:tblCellMar>
        </w:tblPrEx>
        <w:tc>
          <w:tcPr>
            <w:tcW w:w="8847" w:type="dxa"/>
            <w:gridSpan w:val="9"/>
            <w:vAlign w:val="center"/>
          </w:tcPr>
          <w:p w14:paraId="1562C145">
            <w:pPr>
              <w:jc w:val="center"/>
            </w:pPr>
            <w:r>
              <w:rPr>
                <w:rFonts w:ascii="宋体" w:hAnsi="宋体" w:eastAsia="宋体"/>
                <w:sz w:val="24"/>
              </w:rPr>
              <w:t>单位整体支出绩效自评表</w:t>
            </w:r>
          </w:p>
        </w:tc>
      </w:tr>
      <w:tr w14:paraId="66DECCB9">
        <w:tblPrEx>
          <w:tblCellMar>
            <w:top w:w="0" w:type="dxa"/>
            <w:left w:w="108" w:type="dxa"/>
            <w:bottom w:w="0" w:type="dxa"/>
            <w:right w:w="108" w:type="dxa"/>
          </w:tblCellMar>
        </w:tblPrEx>
        <w:tc>
          <w:tcPr>
            <w:tcW w:w="8847" w:type="dxa"/>
            <w:gridSpan w:val="9"/>
            <w:vAlign w:val="center"/>
          </w:tcPr>
          <w:p w14:paraId="21D7F402">
            <w:pPr>
              <w:jc w:val="center"/>
            </w:pPr>
            <w:r>
              <w:rPr>
                <w:rFonts w:ascii="宋体" w:hAnsi="宋体" w:eastAsia="宋体"/>
                <w:sz w:val="24"/>
              </w:rPr>
              <w:t>（2024年度）</w:t>
            </w:r>
          </w:p>
        </w:tc>
      </w:tr>
      <w:tr w14:paraId="417D1AF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22C6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D10359B">
            <w:pPr>
              <w:jc w:val="center"/>
            </w:pPr>
            <w:r>
              <w:rPr>
                <w:rFonts w:ascii="宋体" w:hAnsi="宋体" w:eastAsia="宋体"/>
                <w:sz w:val="16"/>
              </w:rPr>
              <w:t>中共昌吉回族自治州委员会政策研究室</w:t>
            </w:r>
          </w:p>
        </w:tc>
      </w:tr>
      <w:tr w14:paraId="1A4564E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CDD5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D65E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BE8F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C20D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94C1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40BD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7053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3ED44">
            <w:pPr>
              <w:jc w:val="center"/>
            </w:pPr>
            <w:r>
              <w:rPr>
                <w:rFonts w:ascii="宋体" w:hAnsi="宋体" w:eastAsia="宋体"/>
                <w:sz w:val="16"/>
              </w:rPr>
              <w:t>得分</w:t>
            </w:r>
          </w:p>
        </w:tc>
      </w:tr>
      <w:tr w14:paraId="755087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91F7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6A10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6A04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96A3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50AD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0B22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7254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440E2">
            <w:pPr>
              <w:jc w:val="center"/>
            </w:pPr>
            <w:r>
              <w:rPr>
                <w:rFonts w:ascii="宋体" w:hAnsi="宋体" w:eastAsia="宋体"/>
                <w:sz w:val="16"/>
              </w:rPr>
              <w:t>-</w:t>
            </w:r>
          </w:p>
        </w:tc>
      </w:tr>
      <w:tr w14:paraId="1DB228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89AE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3FC2A">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3ACFE">
            <w:pPr>
              <w:jc w:val="center"/>
            </w:pPr>
            <w:r>
              <w:rPr>
                <w:rFonts w:ascii="宋体" w:hAnsi="宋体" w:eastAsia="宋体"/>
                <w:sz w:val="16"/>
              </w:rPr>
              <w:t>472.78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AE59E">
            <w:pPr>
              <w:jc w:val="center"/>
            </w:pPr>
            <w:r>
              <w:rPr>
                <w:rFonts w:ascii="宋体" w:hAnsi="宋体" w:eastAsia="宋体"/>
                <w:sz w:val="16"/>
              </w:rPr>
              <w:t>454.56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5FBA4">
            <w:pPr>
              <w:jc w:val="center"/>
            </w:pPr>
            <w:r>
              <w:rPr>
                <w:rFonts w:ascii="宋体" w:hAnsi="宋体" w:eastAsia="宋体"/>
                <w:sz w:val="16"/>
              </w:rPr>
              <w:t>452.38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9AB5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391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EB6A2">
            <w:pPr>
              <w:jc w:val="center"/>
            </w:pPr>
            <w:r>
              <w:rPr>
                <w:rFonts w:ascii="宋体" w:hAnsi="宋体" w:eastAsia="宋体"/>
                <w:sz w:val="16"/>
              </w:rPr>
              <w:t>-</w:t>
            </w:r>
          </w:p>
        </w:tc>
      </w:tr>
      <w:tr w14:paraId="0F40DD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BC0F4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C885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10119">
            <w:pPr>
              <w:jc w:val="center"/>
            </w:pPr>
            <w:r>
              <w:rPr>
                <w:rFonts w:ascii="宋体" w:hAnsi="宋体" w:eastAsia="宋体"/>
                <w:sz w:val="16"/>
              </w:rPr>
              <w:t>22.00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D42F4">
            <w:pPr>
              <w:jc w:val="center"/>
            </w:pPr>
            <w:r>
              <w:rPr>
                <w:rFonts w:ascii="宋体" w:hAnsi="宋体" w:eastAsia="宋体"/>
                <w:sz w:val="16"/>
              </w:rPr>
              <w:t>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C7E97">
            <w:pPr>
              <w:jc w:val="center"/>
            </w:pPr>
            <w:r>
              <w:rPr>
                <w:rFonts w:ascii="宋体" w:hAnsi="宋体" w:eastAsia="宋体"/>
                <w:sz w:val="16"/>
              </w:rPr>
              <w:t>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4BD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26E2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B7E39">
            <w:pPr>
              <w:jc w:val="center"/>
            </w:pPr>
            <w:r>
              <w:rPr>
                <w:rFonts w:ascii="宋体" w:hAnsi="宋体" w:eastAsia="宋体"/>
                <w:sz w:val="16"/>
              </w:rPr>
              <w:t>-</w:t>
            </w:r>
          </w:p>
        </w:tc>
      </w:tr>
      <w:tr w14:paraId="58C081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06EF6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D9BF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24E31">
            <w:pPr>
              <w:jc w:val="center"/>
            </w:pPr>
            <w:r>
              <w:rPr>
                <w:rFonts w:ascii="宋体" w:hAnsi="宋体" w:eastAsia="宋体"/>
                <w:sz w:val="16"/>
              </w:rPr>
              <w:t>494.78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2262E">
            <w:pPr>
              <w:jc w:val="center"/>
            </w:pPr>
            <w:r>
              <w:rPr>
                <w:rFonts w:ascii="宋体" w:hAnsi="宋体" w:eastAsia="宋体"/>
                <w:sz w:val="16"/>
              </w:rPr>
              <w:t>459.54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5A7F9">
            <w:pPr>
              <w:jc w:val="center"/>
            </w:pPr>
            <w:r>
              <w:rPr>
                <w:rFonts w:ascii="宋体" w:hAnsi="宋体" w:eastAsia="宋体"/>
                <w:sz w:val="16"/>
              </w:rPr>
              <w:t>457.36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46D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414B6">
            <w:pPr>
              <w:jc w:val="center"/>
            </w:pPr>
            <w:r>
              <w:rPr>
                <w:rFonts w:ascii="宋体" w:hAnsi="宋体" w:eastAsia="宋体"/>
                <w:sz w:val="16"/>
              </w:rPr>
              <w:t>99.53%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5AEBE">
            <w:pPr>
              <w:jc w:val="center"/>
            </w:pPr>
            <w:r>
              <w:rPr>
                <w:rFonts w:ascii="宋体" w:hAnsi="宋体" w:eastAsia="宋体"/>
                <w:sz w:val="16"/>
              </w:rPr>
              <w:t>9.95</w:t>
            </w:r>
          </w:p>
        </w:tc>
      </w:tr>
      <w:tr w14:paraId="4902DA3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E1730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78F2B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6C3FC0">
            <w:pPr>
              <w:jc w:val="center"/>
            </w:pPr>
            <w:r>
              <w:rPr>
                <w:rFonts w:ascii="宋体" w:hAnsi="宋体" w:eastAsia="宋体"/>
                <w:sz w:val="16"/>
              </w:rPr>
              <w:t>实际完成情况</w:t>
            </w:r>
          </w:p>
        </w:tc>
      </w:tr>
      <w:tr w14:paraId="6FAAF7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0AB1F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A171B1F">
            <w:pPr>
              <w:jc w:val="both"/>
            </w:pPr>
            <w:r>
              <w:rPr>
                <w:rFonts w:ascii="宋体" w:hAnsi="宋体" w:eastAsia="宋体"/>
                <w:sz w:val="16"/>
              </w:rPr>
              <w:t>承担自治州改革发展政策研究和决策咨询研究工作的组织、协调和指导，组织有关部门、专家团队、社会力量开展重大课题的联合调研和重大决策的前期调研，提出工作建议。完成《领导参阅》70期。持续全面深化改革工作，坚持问题导向，推出一批改革举措，为昌吉州经济社会注入活力和动力，不断增强各民族群众的</w:t>
            </w:r>
            <w:r>
              <w:rPr>
                <w:rFonts w:hint="eastAsia" w:ascii="宋体" w:hAnsi="宋体"/>
                <w:sz w:val="16"/>
                <w:lang w:eastAsia="zh-CN"/>
              </w:rPr>
              <w:t>获得感、幸福感、安全感</w:t>
            </w:r>
            <w:r>
              <w:rPr>
                <w:rFonts w:ascii="宋体" w:hAnsi="宋体" w:eastAsia="宋体"/>
                <w:sz w:val="16"/>
              </w:rPr>
              <w:t>。保障</w:t>
            </w:r>
            <w:r>
              <w:rPr>
                <w:rFonts w:hint="eastAsia" w:ascii="宋体" w:hAnsi="宋体"/>
                <w:sz w:val="16"/>
                <w:lang w:eastAsia="zh-CN"/>
              </w:rPr>
              <w:t>全面深化改革</w:t>
            </w:r>
            <w:r>
              <w:rPr>
                <w:rFonts w:ascii="宋体" w:hAnsi="宋体" w:eastAsia="宋体"/>
                <w:sz w:val="16"/>
              </w:rPr>
              <w:t>、政策研究业务正常运行。采购办公用品次数1次，保障办公人员数量20人，保障单位正常运转，为机关办公提供有效支撑，为推进全面深化改革和政策研究做好保障。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D6503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459,54万元，全年执行数为457.36万元，总预算执行率为99,53%。承担自治州改革发展政策研究和决策咨询研究工作的组织、协调和指导，组织有关部门、专家团队、社会力量开展重大课题的联合调研和重大决策的前期调研，提出工作建议。完成《领导参阅》70期。持续全面深化改革工作，坚持问题导向，推出一批改革举措，为昌吉州经济社会注入活力和动力，不断增强各民族群众的</w:t>
            </w:r>
            <w:r>
              <w:rPr>
                <w:rFonts w:hint="eastAsia" w:ascii="宋体" w:hAnsi="宋体"/>
                <w:sz w:val="16"/>
                <w:lang w:eastAsia="zh-CN"/>
              </w:rPr>
              <w:t>获得感、幸福感、安全感</w:t>
            </w:r>
            <w:r>
              <w:rPr>
                <w:rFonts w:ascii="宋体" w:hAnsi="宋体" w:eastAsia="宋体"/>
                <w:sz w:val="16"/>
              </w:rPr>
              <w:t>。保障</w:t>
            </w:r>
            <w:r>
              <w:rPr>
                <w:rFonts w:hint="eastAsia" w:ascii="宋体" w:hAnsi="宋体"/>
                <w:sz w:val="16"/>
                <w:lang w:eastAsia="zh-CN"/>
              </w:rPr>
              <w:t>全面深化改革</w:t>
            </w:r>
            <w:r>
              <w:rPr>
                <w:rFonts w:ascii="宋体" w:hAnsi="宋体" w:eastAsia="宋体"/>
                <w:sz w:val="16"/>
              </w:rPr>
              <w:t>、政策研究业务正常运行。采购办公用品次数1次，保障办公人员数量20人，保障单位正常运转，为机关办公提供有效支撑，为推进全面深化改革和政策研究做好保障。</w:t>
            </w:r>
          </w:p>
        </w:tc>
      </w:tr>
      <w:tr w14:paraId="1C3DD25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6CF0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8D057">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AD25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34CA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A0C30">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4FBA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CEF7E">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0308B">
            <w:pPr>
              <w:jc w:val="center"/>
            </w:pPr>
            <w:r>
              <w:rPr>
                <w:rFonts w:ascii="宋体" w:hAnsi="宋体" w:eastAsia="宋体"/>
                <w:sz w:val="16"/>
              </w:rPr>
              <w:t>得分</w:t>
            </w:r>
          </w:p>
        </w:tc>
      </w:tr>
      <w:tr w14:paraId="0B5DE5B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20718F">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726AD3">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A970C">
            <w:pPr>
              <w:jc w:val="center"/>
            </w:pPr>
            <w:r>
              <w:rPr>
                <w:rFonts w:ascii="宋体" w:hAnsi="宋体" w:eastAsia="宋体"/>
                <w:sz w:val="16"/>
              </w:rPr>
              <w:t>召开深改会议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932FF">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6070D">
            <w:pPr>
              <w:jc w:val="center"/>
            </w:pPr>
            <w:r>
              <w:rPr>
                <w:rFonts w:ascii="宋体" w:hAnsi="宋体" w:eastAsia="宋体"/>
                <w:sz w:val="16"/>
              </w:rPr>
              <w:t>州党委政研室2024年工作计划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466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D25F2">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0553B">
            <w:pPr>
              <w:jc w:val="center"/>
            </w:pPr>
            <w:r>
              <w:rPr>
                <w:rFonts w:ascii="宋体" w:hAnsi="宋体" w:eastAsia="宋体"/>
                <w:sz w:val="16"/>
              </w:rPr>
              <w:t>10</w:t>
            </w:r>
          </w:p>
        </w:tc>
      </w:tr>
      <w:tr w14:paraId="156B58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0A4C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812B5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F0970">
            <w:pPr>
              <w:jc w:val="center"/>
            </w:pPr>
            <w:r>
              <w:rPr>
                <w:rFonts w:ascii="宋体" w:hAnsi="宋体" w:eastAsia="宋体"/>
                <w:sz w:val="16"/>
              </w:rPr>
              <w:t>编辑印送《领导参阅》期数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18D32">
            <w:pPr>
              <w:jc w:val="center"/>
            </w:pPr>
            <w:r>
              <w:rPr>
                <w:rFonts w:ascii="宋体" w:hAnsi="宋体" w:eastAsia="宋体"/>
                <w:sz w:val="16"/>
              </w:rPr>
              <w:t>&gt;=70期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97546">
            <w:pPr>
              <w:jc w:val="center"/>
            </w:pPr>
            <w:r>
              <w:rPr>
                <w:rFonts w:ascii="宋体" w:hAnsi="宋体" w:eastAsia="宋体"/>
                <w:sz w:val="16"/>
              </w:rPr>
              <w:t>州党委政研室2024年工作计划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066D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ABD07">
            <w:pPr>
              <w:jc w:val="center"/>
            </w:pPr>
            <w:r>
              <w:rPr>
                <w:rFonts w:ascii="宋体" w:hAnsi="宋体" w:eastAsia="宋体"/>
                <w:sz w:val="16"/>
              </w:rPr>
              <w:t>70期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3F115">
            <w:pPr>
              <w:jc w:val="center"/>
            </w:pPr>
            <w:r>
              <w:rPr>
                <w:rFonts w:ascii="宋体" w:hAnsi="宋体" w:eastAsia="宋体"/>
                <w:sz w:val="16"/>
              </w:rPr>
              <w:t>10</w:t>
            </w:r>
          </w:p>
        </w:tc>
      </w:tr>
      <w:tr w14:paraId="0BDDE8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6216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74E43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80424">
            <w:pPr>
              <w:jc w:val="center"/>
            </w:pPr>
            <w:r>
              <w:rPr>
                <w:rFonts w:ascii="宋体" w:hAnsi="宋体" w:eastAsia="宋体"/>
                <w:sz w:val="16"/>
              </w:rPr>
              <w:t>保障办公人员数量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57D44">
            <w:pPr>
              <w:jc w:val="center"/>
            </w:pPr>
            <w:r>
              <w:rPr>
                <w:rFonts w:ascii="宋体" w:hAnsi="宋体" w:eastAsia="宋体"/>
                <w:sz w:val="16"/>
              </w:rPr>
              <w:t>&gt;=19人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AC04F">
            <w:pPr>
              <w:jc w:val="center"/>
            </w:pPr>
            <w:r>
              <w:rPr>
                <w:rFonts w:ascii="宋体" w:hAnsi="宋体" w:eastAsia="宋体"/>
                <w:sz w:val="16"/>
              </w:rPr>
              <w:t>州党委政研室2024年工作计划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93F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D8B2E">
            <w:pPr>
              <w:jc w:val="center"/>
            </w:pPr>
            <w:r>
              <w:rPr>
                <w:rFonts w:ascii="宋体" w:hAnsi="宋体" w:eastAsia="宋体"/>
                <w:sz w:val="16"/>
              </w:rPr>
              <w:t>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4DC23">
            <w:pPr>
              <w:jc w:val="center"/>
            </w:pPr>
            <w:r>
              <w:rPr>
                <w:rFonts w:ascii="宋体" w:hAnsi="宋体" w:eastAsia="宋体"/>
                <w:sz w:val="16"/>
              </w:rPr>
              <w:t>10</w:t>
            </w:r>
          </w:p>
        </w:tc>
      </w:tr>
      <w:tr w14:paraId="15FBDF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20103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E3DD8">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13DED">
            <w:pPr>
              <w:jc w:val="center"/>
            </w:pPr>
            <w:r>
              <w:rPr>
                <w:rFonts w:ascii="宋体" w:hAnsi="宋体" w:eastAsia="宋体"/>
                <w:sz w:val="16"/>
              </w:rPr>
              <w:t>内部期刊完结率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DA4C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36E22">
            <w:pPr>
              <w:jc w:val="center"/>
            </w:pPr>
            <w:r>
              <w:rPr>
                <w:rFonts w:ascii="宋体" w:hAnsi="宋体" w:eastAsia="宋体"/>
                <w:sz w:val="16"/>
              </w:rPr>
              <w:t>州党委政研室2024年工作计划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90FD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2073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F2BF3">
            <w:pPr>
              <w:jc w:val="center"/>
            </w:pPr>
            <w:r>
              <w:rPr>
                <w:rFonts w:ascii="宋体" w:hAnsi="宋体" w:eastAsia="宋体"/>
                <w:sz w:val="16"/>
              </w:rPr>
              <w:t>15</w:t>
            </w:r>
          </w:p>
        </w:tc>
      </w:tr>
      <w:tr w14:paraId="70AF84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10E0D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B51A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24E78">
            <w:pPr>
              <w:jc w:val="center"/>
            </w:pPr>
            <w:r>
              <w:rPr>
                <w:rFonts w:ascii="宋体" w:hAnsi="宋体" w:eastAsia="宋体"/>
                <w:sz w:val="16"/>
              </w:rPr>
              <w:t>协调推动重点改革任务落实</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EF0E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945BD">
            <w:pPr>
              <w:jc w:val="center"/>
            </w:pPr>
            <w:r>
              <w:rPr>
                <w:rFonts w:ascii="宋体" w:hAnsi="宋体" w:eastAsia="宋体"/>
                <w:sz w:val="16"/>
              </w:rPr>
              <w:t>州党委政研室2024年工作计划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9D12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7A93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D318D">
            <w:pPr>
              <w:jc w:val="center"/>
            </w:pPr>
            <w:r>
              <w:rPr>
                <w:rFonts w:ascii="宋体" w:hAnsi="宋体" w:eastAsia="宋体"/>
                <w:sz w:val="16"/>
              </w:rPr>
              <w:t>15</w:t>
            </w:r>
          </w:p>
        </w:tc>
      </w:tr>
      <w:tr w14:paraId="0F4A79C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79CD1">
            <w:pPr>
              <w:jc w:val="center"/>
            </w:pPr>
            <w:r>
              <w:rPr>
                <w:rFonts w:ascii="宋体" w:hAnsi="宋体" w:eastAsia="宋体"/>
                <w:sz w:val="16"/>
              </w:rPr>
              <w:t>社会效益</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8BA6B6">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0A1FE">
            <w:pPr>
              <w:jc w:val="center"/>
            </w:pPr>
            <w:r>
              <w:rPr>
                <w:rFonts w:ascii="宋体" w:hAnsi="宋体" w:eastAsia="宋体"/>
                <w:sz w:val="16"/>
              </w:rPr>
              <w:t>向州党委报送调研专报，持续为州党委推动改革稳定发展提供决策参考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6784C3">
            <w:pPr>
              <w:jc w:val="center"/>
            </w:pPr>
            <w:r>
              <w:rPr>
                <w:rFonts w:ascii="宋体" w:hAnsi="宋体" w:eastAsia="宋体"/>
                <w:sz w:val="16"/>
              </w:rPr>
              <w:t>有效提供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621F2">
            <w:pPr>
              <w:jc w:val="center"/>
            </w:pPr>
            <w:r>
              <w:rPr>
                <w:rFonts w:ascii="宋体" w:hAnsi="宋体" w:eastAsia="宋体"/>
                <w:sz w:val="16"/>
              </w:rPr>
              <w:t>州党委政研室2024年工作计划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EA30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ABC9E">
            <w:pPr>
              <w:jc w:val="center"/>
            </w:pPr>
            <w:r>
              <w:rPr>
                <w:rFonts w:ascii="宋体" w:hAnsi="宋体" w:eastAsia="宋体"/>
                <w:sz w:val="16"/>
              </w:rPr>
              <w:t>有效提供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0588F">
            <w:pPr>
              <w:jc w:val="center"/>
            </w:pPr>
            <w:r>
              <w:rPr>
                <w:rFonts w:ascii="宋体" w:hAnsi="宋体" w:eastAsia="宋体"/>
                <w:sz w:val="16"/>
              </w:rPr>
              <w:t>15</w:t>
            </w:r>
          </w:p>
        </w:tc>
      </w:tr>
      <w:tr w14:paraId="39CED4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494C0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00D0E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59C0A">
            <w:pPr>
              <w:jc w:val="center"/>
            </w:pPr>
            <w:r>
              <w:rPr>
                <w:rFonts w:ascii="宋体" w:hAnsi="宋体" w:eastAsia="宋体"/>
                <w:sz w:val="16"/>
              </w:rPr>
              <w:t>持续全面深化改革工作，推出一批改革举措，不断增强各民族群众的</w:t>
            </w:r>
            <w:r>
              <w:rPr>
                <w:rFonts w:hint="eastAsia" w:ascii="宋体" w:hAnsi="宋体"/>
                <w:sz w:val="16"/>
                <w:lang w:eastAsia="zh-CN"/>
              </w:rPr>
              <w:t>获得感、幸福感、安全感</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8912C">
            <w:pPr>
              <w:jc w:val="center"/>
            </w:pPr>
            <w:r>
              <w:rPr>
                <w:rFonts w:ascii="宋体" w:hAnsi="宋体" w:eastAsia="宋体"/>
                <w:sz w:val="16"/>
              </w:rPr>
              <w:t>不断增强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96AD4">
            <w:pPr>
              <w:jc w:val="center"/>
            </w:pPr>
            <w:r>
              <w:rPr>
                <w:rFonts w:ascii="宋体" w:hAnsi="宋体" w:eastAsia="宋体"/>
                <w:sz w:val="16"/>
              </w:rPr>
              <w:t>州党委政研室2024年工作计划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7A49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CBEE6">
            <w:pPr>
              <w:jc w:val="center"/>
            </w:pPr>
            <w:r>
              <w:rPr>
                <w:rFonts w:ascii="宋体" w:hAnsi="宋体" w:eastAsia="宋体"/>
                <w:sz w:val="16"/>
              </w:rPr>
              <w:t>不断增强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E70840">
            <w:pPr>
              <w:jc w:val="center"/>
            </w:pPr>
            <w:r>
              <w:rPr>
                <w:rFonts w:ascii="宋体" w:hAnsi="宋体" w:eastAsia="宋体"/>
                <w:sz w:val="16"/>
              </w:rPr>
              <w:t>15</w:t>
            </w:r>
          </w:p>
        </w:tc>
      </w:tr>
    </w:tbl>
    <w:p w14:paraId="63D7A94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09A4A07">
        <w:tblPrEx>
          <w:tblCellMar>
            <w:top w:w="0" w:type="dxa"/>
            <w:left w:w="108" w:type="dxa"/>
            <w:bottom w:w="0" w:type="dxa"/>
            <w:right w:w="108" w:type="dxa"/>
          </w:tblCellMar>
        </w:tblPrEx>
        <w:tc>
          <w:tcPr>
            <w:tcW w:w="8848" w:type="dxa"/>
            <w:gridSpan w:val="14"/>
            <w:vAlign w:val="center"/>
          </w:tcPr>
          <w:p w14:paraId="1C266814">
            <w:pPr>
              <w:jc w:val="center"/>
            </w:pPr>
            <w:r>
              <w:rPr>
                <w:rFonts w:ascii="宋体" w:hAnsi="宋体" w:eastAsia="宋体"/>
                <w:sz w:val="24"/>
              </w:rPr>
              <w:t>项目支出绩效自评表</w:t>
            </w:r>
          </w:p>
        </w:tc>
      </w:tr>
      <w:tr w14:paraId="0576A41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3CF307">
            <w:pPr>
              <w:jc w:val="center"/>
            </w:pPr>
            <w:r>
              <w:rPr>
                <w:rFonts w:ascii="宋体" w:hAnsi="宋体" w:eastAsia="宋体"/>
                <w:sz w:val="24"/>
              </w:rPr>
              <w:t>(2024年度)</w:t>
            </w:r>
          </w:p>
        </w:tc>
      </w:tr>
      <w:tr w14:paraId="0748F9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276A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C960AF4">
            <w:pPr>
              <w:jc w:val="center"/>
            </w:pPr>
            <w:r>
              <w:rPr>
                <w:rFonts w:ascii="宋体" w:hAnsi="宋体" w:eastAsia="宋体"/>
                <w:sz w:val="16"/>
              </w:rPr>
              <w:t>政研改革经费</w:t>
            </w:r>
          </w:p>
        </w:tc>
      </w:tr>
      <w:tr w14:paraId="1EC41B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84A5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8938EB">
            <w:pPr>
              <w:jc w:val="center"/>
            </w:pPr>
            <w:r>
              <w:rPr>
                <w:rFonts w:ascii="宋体" w:hAnsi="宋体" w:eastAsia="宋体"/>
                <w:sz w:val="16"/>
              </w:rPr>
              <w:t>中共昌吉回族自治州委员会政策研究室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164F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BC13D5">
            <w:pPr>
              <w:jc w:val="center"/>
            </w:pPr>
            <w:r>
              <w:rPr>
                <w:rFonts w:ascii="宋体" w:hAnsi="宋体" w:eastAsia="宋体"/>
                <w:sz w:val="16"/>
              </w:rPr>
              <w:t>中共昌吉回族自治州委员会政策研究室</w:t>
            </w:r>
          </w:p>
        </w:tc>
      </w:tr>
      <w:tr w14:paraId="19DA32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5591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6CD2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7B7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6199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2615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3DB1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3B55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D989D">
            <w:pPr>
              <w:jc w:val="center"/>
            </w:pPr>
            <w:r>
              <w:rPr>
                <w:rFonts w:ascii="宋体" w:hAnsi="宋体" w:eastAsia="宋体"/>
                <w:sz w:val="16"/>
              </w:rPr>
              <w:t>得分</w:t>
            </w:r>
          </w:p>
        </w:tc>
      </w:tr>
      <w:tr w14:paraId="2E17F1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52E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243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2385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93243">
            <w:pPr>
              <w:jc w:val="center"/>
            </w:pPr>
            <w:r>
              <w:rPr>
                <w:rFonts w:ascii="宋体" w:hAnsi="宋体" w:eastAsia="宋体"/>
                <w:sz w:val="16"/>
              </w:rPr>
              <w:t>12.89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64955">
            <w:pPr>
              <w:jc w:val="center"/>
            </w:pPr>
            <w:r>
              <w:rPr>
                <w:rFonts w:ascii="宋体" w:hAnsi="宋体" w:eastAsia="宋体"/>
                <w:sz w:val="16"/>
              </w:rPr>
              <w:t>12.89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63E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6F2F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CF4CA">
            <w:pPr>
              <w:jc w:val="center"/>
            </w:pPr>
            <w:r>
              <w:rPr>
                <w:rFonts w:ascii="宋体" w:hAnsi="宋体" w:eastAsia="宋体"/>
                <w:sz w:val="16"/>
              </w:rPr>
              <w:t>10.00</w:t>
            </w:r>
          </w:p>
        </w:tc>
      </w:tr>
      <w:tr w14:paraId="0CF5C0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B9A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9E08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BAB11">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D7F09">
            <w:pPr>
              <w:jc w:val="center"/>
            </w:pPr>
            <w:r>
              <w:rPr>
                <w:rFonts w:ascii="宋体" w:hAnsi="宋体" w:eastAsia="宋体"/>
                <w:sz w:val="16"/>
              </w:rPr>
              <w:t>12.89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B31AD">
            <w:pPr>
              <w:jc w:val="center"/>
            </w:pPr>
            <w:r>
              <w:rPr>
                <w:rFonts w:ascii="宋体" w:hAnsi="宋体" w:eastAsia="宋体"/>
                <w:sz w:val="16"/>
              </w:rPr>
              <w:t>12.89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492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DCC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0C5B2">
            <w:pPr>
              <w:jc w:val="center"/>
            </w:pPr>
            <w:r>
              <w:rPr>
                <w:rFonts w:ascii="宋体" w:hAnsi="宋体" w:eastAsia="宋体"/>
                <w:sz w:val="16"/>
              </w:rPr>
              <w:t>—</w:t>
            </w:r>
          </w:p>
        </w:tc>
      </w:tr>
      <w:tr w14:paraId="7510DC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571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B33A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FF6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A01C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059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5CE9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B70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6B613">
            <w:pPr>
              <w:jc w:val="center"/>
            </w:pPr>
            <w:r>
              <w:rPr>
                <w:rFonts w:ascii="宋体" w:hAnsi="宋体" w:eastAsia="宋体"/>
                <w:sz w:val="16"/>
              </w:rPr>
              <w:t>—</w:t>
            </w:r>
          </w:p>
        </w:tc>
      </w:tr>
      <w:tr w14:paraId="060417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26DD4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BA3B9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0D48DB">
            <w:pPr>
              <w:jc w:val="center"/>
            </w:pPr>
            <w:r>
              <w:rPr>
                <w:rFonts w:ascii="宋体" w:hAnsi="宋体" w:eastAsia="宋体"/>
                <w:sz w:val="16"/>
              </w:rPr>
              <w:t>实际完成情况</w:t>
            </w:r>
          </w:p>
        </w:tc>
      </w:tr>
      <w:tr w14:paraId="77E980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994FC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8BBAFA">
            <w:pPr>
              <w:jc w:val="both"/>
            </w:pPr>
            <w:r>
              <w:rPr>
                <w:rFonts w:ascii="宋体" w:hAnsi="宋体" w:eastAsia="宋体"/>
                <w:sz w:val="16"/>
              </w:rPr>
              <w:t>承担自治州改革发展政策研究和决策咨询研究工作的组织、协调和指导，组织有关部门、专家团队、社会力量开展重大课题的联合调研和重大决策的前期调研，提出工作建议。完成《领导参阅》70期。持续全面深化改革工作，坚持问题导向，推出一批改革举措，为昌吉州经济社会注入活力和动力，不断增强各民族群众的</w:t>
            </w:r>
            <w:r>
              <w:rPr>
                <w:rFonts w:hint="eastAsia" w:ascii="宋体" w:hAnsi="宋体"/>
                <w:sz w:val="16"/>
                <w:lang w:eastAsia="zh-CN"/>
              </w:rPr>
              <w:t>获得感、幸福感、安全感</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953F0F">
            <w:pPr>
              <w:jc w:val="both"/>
            </w:pPr>
            <w:r>
              <w:rPr>
                <w:rFonts w:ascii="宋体" w:hAnsi="宋体" w:eastAsia="宋体"/>
                <w:sz w:val="16"/>
              </w:rPr>
              <w:t>截至2024年12月31日，该项目实际完成召开深化改革会议3次；研究审议改革方案5项；编辑印送《领导参阅》70期，内部期刊完结率100%；协调推动重点改革任务落实完成率100%，深化改革工作成本支出6.26万元，政策研究成本支出6.63万元。通过该项目的实施，持续全面深化改革工作，坚持问题导向，推出一批改革举措，为昌吉州经济社会注入活力和动力，不断增强各民族群众的</w:t>
            </w:r>
            <w:r>
              <w:rPr>
                <w:rFonts w:hint="eastAsia" w:ascii="宋体" w:hAnsi="宋体"/>
                <w:sz w:val="16"/>
                <w:lang w:eastAsia="zh-CN"/>
              </w:rPr>
              <w:t>获得感、幸福感、安全感</w:t>
            </w:r>
            <w:r>
              <w:rPr>
                <w:rFonts w:ascii="宋体" w:hAnsi="宋体" w:eastAsia="宋体"/>
                <w:sz w:val="16"/>
              </w:rPr>
              <w:t>。</w:t>
            </w:r>
          </w:p>
        </w:tc>
      </w:tr>
      <w:tr w14:paraId="4CCF47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9472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C382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71A0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D251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907D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6907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FE91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0C8E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0201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2EA3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B696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B326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ADA4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D1BD1">
            <w:pPr>
              <w:jc w:val="center"/>
            </w:pPr>
            <w:r>
              <w:rPr>
                <w:rFonts w:ascii="宋体" w:hAnsi="宋体" w:eastAsia="宋体"/>
                <w:sz w:val="16"/>
              </w:rPr>
              <w:t>偏差原因分析及改进措施</w:t>
            </w:r>
          </w:p>
        </w:tc>
      </w:tr>
      <w:tr w14:paraId="0051A3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B2F43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5E82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CF41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D6B7C">
            <w:pPr>
              <w:jc w:val="center"/>
            </w:pPr>
            <w:r>
              <w:rPr>
                <w:rFonts w:ascii="宋体" w:hAnsi="宋体" w:eastAsia="宋体"/>
                <w:sz w:val="16"/>
              </w:rPr>
              <w:t>召开深改会议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8AA6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9DFA2">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B8E0D">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44A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0342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6C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5C32F">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B59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F5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B4212">
            <w:pPr>
              <w:jc w:val="center"/>
            </w:pPr>
          </w:p>
        </w:tc>
      </w:tr>
      <w:tr w14:paraId="26917C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788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4FF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7A4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86D3F">
            <w:pPr>
              <w:jc w:val="center"/>
            </w:pPr>
            <w:r>
              <w:rPr>
                <w:rFonts w:ascii="宋体" w:hAnsi="宋体" w:eastAsia="宋体"/>
                <w:sz w:val="16"/>
              </w:rPr>
              <w:t>研究审议改革方案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88B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E62BF">
            <w:pPr>
              <w:jc w:val="center"/>
            </w:pPr>
            <w:r>
              <w:rPr>
                <w:rFonts w:ascii="宋体" w:hAnsi="宋体" w:eastAsia="宋体"/>
                <w:sz w:val="16"/>
              </w:rPr>
              <w:t>&gt;=5项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17611">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5C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B8A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1C2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8E552">
            <w:pPr>
              <w:jc w:val="center"/>
            </w:pPr>
            <w:r>
              <w:rPr>
                <w:rFonts w:ascii="宋体" w:hAnsi="宋体" w:eastAsia="宋体"/>
                <w:sz w:val="16"/>
              </w:rPr>
              <w:t>无，为新增工作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970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83A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0207C">
            <w:pPr>
              <w:jc w:val="center"/>
            </w:pPr>
          </w:p>
        </w:tc>
      </w:tr>
      <w:tr w14:paraId="0F8CF3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C6E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586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39D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69B9B">
            <w:pPr>
              <w:jc w:val="center"/>
            </w:pPr>
            <w:r>
              <w:rPr>
                <w:rFonts w:ascii="宋体" w:hAnsi="宋体" w:eastAsia="宋体"/>
                <w:sz w:val="16"/>
              </w:rPr>
              <w:t>编辑印送《领导参阅》期数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2CDD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4788B">
            <w:pPr>
              <w:jc w:val="center"/>
            </w:pPr>
            <w:r>
              <w:rPr>
                <w:rFonts w:ascii="宋体" w:hAnsi="宋体" w:eastAsia="宋体"/>
                <w:sz w:val="16"/>
              </w:rPr>
              <w:t>&gt;=70期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16F3">
            <w:pPr>
              <w:jc w:val="center"/>
            </w:pPr>
            <w:r>
              <w:rPr>
                <w:rFonts w:ascii="宋体" w:hAnsi="宋体" w:eastAsia="宋体"/>
                <w:sz w:val="16"/>
              </w:rPr>
              <w:t>=70期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C30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B0B5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2A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004A5">
            <w:pPr>
              <w:jc w:val="center"/>
            </w:pPr>
            <w:r>
              <w:rPr>
                <w:rFonts w:ascii="宋体" w:hAnsi="宋体" w:eastAsia="宋体"/>
                <w:sz w:val="16"/>
              </w:rPr>
              <w:t>无，为新增工作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1DD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A1A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6623E">
            <w:pPr>
              <w:jc w:val="center"/>
            </w:pPr>
          </w:p>
        </w:tc>
      </w:tr>
      <w:tr w14:paraId="753291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EB6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D70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E9A5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9439C">
            <w:pPr>
              <w:jc w:val="center"/>
            </w:pPr>
            <w:r>
              <w:rPr>
                <w:rFonts w:ascii="宋体" w:hAnsi="宋体" w:eastAsia="宋体"/>
                <w:sz w:val="16"/>
              </w:rPr>
              <w:t>协调推动重点改革任务落实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3DE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D065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8EB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DA51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CCC7">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B5A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1115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99D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A9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D83AE">
            <w:pPr>
              <w:jc w:val="center"/>
            </w:pPr>
            <w:r>
              <w:rPr>
                <w:rFonts w:ascii="宋体" w:hAnsi="宋体" w:eastAsia="宋体"/>
                <w:sz w:val="16"/>
              </w:rPr>
              <w:t>年初设置指标为90%，目标设定过于保守，执行效率较高超出预期，导致超额完成目标指标。</w:t>
            </w:r>
          </w:p>
        </w:tc>
      </w:tr>
      <w:tr w14:paraId="6839ED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A8E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087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7ED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B9741">
            <w:pPr>
              <w:jc w:val="center"/>
            </w:pPr>
            <w:r>
              <w:rPr>
                <w:rFonts w:ascii="宋体" w:hAnsi="宋体" w:eastAsia="宋体"/>
                <w:sz w:val="16"/>
              </w:rPr>
              <w:t>内部期刊完结率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1A0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0310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D81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C8A0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6315D">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908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A94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F9F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D2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B7A83">
            <w:pPr>
              <w:jc w:val="center"/>
            </w:pPr>
            <w:r>
              <w:rPr>
                <w:rFonts w:ascii="宋体" w:hAnsi="宋体" w:eastAsia="宋体"/>
                <w:sz w:val="16"/>
              </w:rPr>
              <w:t>年初设置指标为90%，目标设定过于保守，执行效率较高超出预期，导致超额完成目标指标。</w:t>
            </w:r>
          </w:p>
        </w:tc>
      </w:tr>
      <w:tr w14:paraId="19C5F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2A63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7627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BFF02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AC779">
            <w:pPr>
              <w:jc w:val="center"/>
            </w:pPr>
            <w:r>
              <w:rPr>
                <w:rFonts w:ascii="宋体" w:hAnsi="宋体" w:eastAsia="宋体"/>
                <w:sz w:val="16"/>
              </w:rPr>
              <w:t>深化改革工作成本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95B9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33FC5">
            <w:pPr>
              <w:jc w:val="center"/>
            </w:pPr>
            <w:r>
              <w:rPr>
                <w:rFonts w:ascii="宋体" w:hAnsi="宋体" w:eastAsia="宋体"/>
                <w:sz w:val="16"/>
              </w:rPr>
              <w:t>&lt;=6.26万元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AD51B">
            <w:pPr>
              <w:jc w:val="center"/>
            </w:pPr>
            <w:r>
              <w:rPr>
                <w:rFonts w:ascii="宋体" w:hAnsi="宋体" w:eastAsia="宋体"/>
                <w:sz w:val="16"/>
              </w:rPr>
              <w:t>=6.26万元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0F7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4E5F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04F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99AA8">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F17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B2856">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1C28">
            <w:pPr>
              <w:jc w:val="center"/>
            </w:pPr>
          </w:p>
        </w:tc>
      </w:tr>
      <w:tr w14:paraId="6B78CD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D4F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431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BE7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BCB95">
            <w:pPr>
              <w:jc w:val="center"/>
            </w:pPr>
            <w:r>
              <w:rPr>
                <w:rFonts w:ascii="宋体" w:hAnsi="宋体" w:eastAsia="宋体"/>
                <w:sz w:val="16"/>
              </w:rPr>
              <w:t>政策研究成本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822A3">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DD06C">
            <w:pPr>
              <w:jc w:val="center"/>
            </w:pPr>
            <w:r>
              <w:rPr>
                <w:rFonts w:ascii="宋体" w:hAnsi="宋体" w:eastAsia="宋体"/>
                <w:sz w:val="16"/>
              </w:rPr>
              <w:t>&lt;=6.63万元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C98A">
            <w:pPr>
              <w:jc w:val="center"/>
            </w:pPr>
            <w:r>
              <w:rPr>
                <w:rFonts w:ascii="宋体" w:hAnsi="宋体" w:eastAsia="宋体"/>
                <w:sz w:val="16"/>
              </w:rPr>
              <w:t>=6.63万元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CD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C4D13">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3E2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E86FA">
            <w:pPr>
              <w:jc w:val="center"/>
            </w:pPr>
            <w:r>
              <w:rPr>
                <w:rFonts w:ascii="宋体" w:hAnsi="宋体" w:eastAsia="宋体"/>
                <w:sz w:val="16"/>
              </w:rPr>
              <w:t>&lt;=28万元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69C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64870">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66548">
            <w:pPr>
              <w:jc w:val="center"/>
            </w:pPr>
          </w:p>
        </w:tc>
      </w:tr>
      <w:tr w14:paraId="5D9420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CEC8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78013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E8356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DC4CA">
            <w:pPr>
              <w:jc w:val="center"/>
            </w:pPr>
            <w:r>
              <w:rPr>
                <w:rFonts w:ascii="宋体" w:hAnsi="宋体" w:eastAsia="宋体"/>
                <w:sz w:val="16"/>
              </w:rPr>
              <w:t>持续全面深化改革工作，推出一批改革举措，不断增强各民族群众的</w:t>
            </w:r>
            <w:r>
              <w:rPr>
                <w:rFonts w:hint="eastAsia" w:ascii="宋体" w:hAnsi="宋体"/>
                <w:sz w:val="16"/>
                <w:lang w:eastAsia="zh-CN"/>
              </w:rPr>
              <w:t>获得感、幸福感、安全感</w:t>
            </w: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759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A3EDD">
            <w:pPr>
              <w:jc w:val="center"/>
            </w:pPr>
            <w:r>
              <w:rPr>
                <w:rFonts w:ascii="宋体" w:hAnsi="宋体" w:eastAsia="宋体"/>
                <w:sz w:val="16"/>
              </w:rPr>
              <w:t>不断增强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57A8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0E1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2E61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8B0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877B7">
            <w:pPr>
              <w:jc w:val="center"/>
            </w:pPr>
            <w:r>
              <w:rPr>
                <w:rFonts w:ascii="宋体" w:hAnsi="宋体" w:eastAsia="宋体"/>
                <w:sz w:val="16"/>
              </w:rPr>
              <w:t>不断增强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37C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C6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7DB77">
            <w:pPr>
              <w:jc w:val="center"/>
            </w:pPr>
          </w:p>
        </w:tc>
      </w:tr>
      <w:tr w14:paraId="24D6DC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024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EEF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36D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80AA2">
            <w:pPr>
              <w:jc w:val="center"/>
            </w:pPr>
            <w:r>
              <w:rPr>
                <w:rFonts w:ascii="宋体" w:hAnsi="宋体" w:eastAsia="宋体"/>
                <w:sz w:val="16"/>
              </w:rPr>
              <w:t>向州党委报送调研专报，持续为州党委推动改革稳定发展提供决策参考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42E3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34593">
            <w:pPr>
              <w:jc w:val="center"/>
            </w:pPr>
            <w:r>
              <w:rPr>
                <w:rFonts w:ascii="宋体" w:hAnsi="宋体" w:eastAsia="宋体"/>
                <w:sz w:val="16"/>
              </w:rPr>
              <w:t>有效提供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12AE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CC8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E319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803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1E317">
            <w:pPr>
              <w:jc w:val="center"/>
            </w:pPr>
            <w:r>
              <w:rPr>
                <w:rFonts w:ascii="宋体" w:hAnsi="宋体" w:eastAsia="宋体"/>
                <w:sz w:val="16"/>
              </w:rPr>
              <w:t>有效提供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1249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590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4EC76">
            <w:pPr>
              <w:jc w:val="center"/>
            </w:pPr>
          </w:p>
        </w:tc>
      </w:tr>
      <w:tr w14:paraId="57B6D6C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107E1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7E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BAE2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C400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B9C1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CE243">
            <w:pPr>
              <w:jc w:val="center"/>
            </w:pPr>
            <w:r>
              <w:rPr>
                <w:rFonts w:ascii="宋体" w:hAnsi="宋体" w:eastAsia="宋体"/>
                <w:sz w:val="16"/>
              </w:rPr>
              <w:t>98.88分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584B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AEEE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C2E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AA27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CCBABD"/>
        </w:tc>
      </w:tr>
    </w:tbl>
    <w:p w14:paraId="74E241B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791DCEBE">
        <w:tblPrEx>
          <w:tblCellMar>
            <w:top w:w="0" w:type="dxa"/>
            <w:left w:w="108" w:type="dxa"/>
            <w:bottom w:w="0" w:type="dxa"/>
            <w:right w:w="108" w:type="dxa"/>
          </w:tblCellMar>
        </w:tblPrEx>
        <w:tc>
          <w:tcPr>
            <w:tcW w:w="8848" w:type="dxa"/>
            <w:gridSpan w:val="14"/>
            <w:vAlign w:val="center"/>
          </w:tcPr>
          <w:p w14:paraId="04C25B33">
            <w:pPr>
              <w:jc w:val="center"/>
            </w:pPr>
            <w:r>
              <w:rPr>
                <w:rFonts w:ascii="宋体" w:hAnsi="宋体" w:eastAsia="宋体"/>
                <w:sz w:val="24"/>
              </w:rPr>
              <w:t>项目支出绩效自评表</w:t>
            </w:r>
          </w:p>
        </w:tc>
      </w:tr>
      <w:tr w14:paraId="014B9FC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9A50BD">
            <w:pPr>
              <w:jc w:val="center"/>
            </w:pPr>
            <w:r>
              <w:rPr>
                <w:rFonts w:ascii="宋体" w:hAnsi="宋体" w:eastAsia="宋体"/>
                <w:sz w:val="24"/>
              </w:rPr>
              <w:t>(2024年度)</w:t>
            </w:r>
          </w:p>
        </w:tc>
      </w:tr>
      <w:tr w14:paraId="316F62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A6AA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6D9483">
            <w:pPr>
              <w:jc w:val="center"/>
            </w:pPr>
            <w:r>
              <w:rPr>
                <w:rFonts w:ascii="宋体" w:hAnsi="宋体" w:eastAsia="宋体"/>
                <w:sz w:val="16"/>
              </w:rPr>
              <w:t>机关运行补助</w:t>
            </w:r>
          </w:p>
        </w:tc>
      </w:tr>
      <w:tr w14:paraId="2A60D6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DB54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AED14B">
            <w:pPr>
              <w:jc w:val="center"/>
            </w:pPr>
            <w:r>
              <w:rPr>
                <w:rFonts w:ascii="宋体" w:hAnsi="宋体" w:eastAsia="宋体"/>
                <w:sz w:val="16"/>
              </w:rPr>
              <w:t>中共昌吉回族自治州委员会政策研究室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5A66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2C230B">
            <w:pPr>
              <w:jc w:val="center"/>
            </w:pPr>
            <w:r>
              <w:rPr>
                <w:rFonts w:ascii="宋体" w:hAnsi="宋体" w:eastAsia="宋体"/>
                <w:sz w:val="16"/>
              </w:rPr>
              <w:t>中共昌吉回族自治州委员会政策研究室</w:t>
            </w:r>
          </w:p>
        </w:tc>
      </w:tr>
      <w:tr w14:paraId="0A142C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58649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00F4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F8E6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A0F4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A17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ED44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A5A9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7449">
            <w:pPr>
              <w:jc w:val="center"/>
            </w:pPr>
            <w:r>
              <w:rPr>
                <w:rFonts w:ascii="宋体" w:hAnsi="宋体" w:eastAsia="宋体"/>
                <w:sz w:val="16"/>
              </w:rPr>
              <w:t>得分</w:t>
            </w:r>
          </w:p>
        </w:tc>
      </w:tr>
      <w:tr w14:paraId="00D3F9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E20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4AD5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D846E">
            <w:pPr>
              <w:jc w:val="center"/>
            </w:pPr>
            <w:r>
              <w:rPr>
                <w:rFonts w:ascii="宋体" w:hAnsi="宋体" w:eastAsia="宋体"/>
                <w:sz w:val="16"/>
              </w:rPr>
              <w:t>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FAEFA">
            <w:pPr>
              <w:jc w:val="center"/>
            </w:pPr>
            <w:r>
              <w:rPr>
                <w:rFonts w:ascii="宋体" w:hAnsi="宋体" w:eastAsia="宋体"/>
                <w:sz w:val="16"/>
              </w:rPr>
              <w:t>5.09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1BCBC">
            <w:pPr>
              <w:jc w:val="center"/>
            </w:pPr>
            <w:r>
              <w:rPr>
                <w:rFonts w:ascii="宋体" w:hAnsi="宋体" w:eastAsia="宋体"/>
                <w:sz w:val="16"/>
              </w:rPr>
              <w:t>4.98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224E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491DD">
            <w:pPr>
              <w:jc w:val="center"/>
            </w:pPr>
            <w:r>
              <w:rPr>
                <w:rFonts w:ascii="宋体" w:hAnsi="宋体" w:eastAsia="宋体"/>
                <w:sz w:val="16"/>
              </w:rPr>
              <w:t>97.84%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E011F">
            <w:pPr>
              <w:jc w:val="center"/>
            </w:pPr>
            <w:r>
              <w:rPr>
                <w:rFonts w:ascii="宋体" w:hAnsi="宋体" w:eastAsia="宋体"/>
                <w:sz w:val="16"/>
              </w:rPr>
              <w:t>10.00</w:t>
            </w:r>
          </w:p>
        </w:tc>
      </w:tr>
      <w:tr w14:paraId="6282C9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110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7B61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BBD4E">
            <w:pPr>
              <w:jc w:val="center"/>
            </w:pPr>
            <w:r>
              <w:rPr>
                <w:rFonts w:ascii="宋体" w:hAnsi="宋体" w:eastAsia="宋体"/>
                <w:sz w:val="16"/>
              </w:rPr>
              <w:t>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8473C">
            <w:pPr>
              <w:jc w:val="center"/>
            </w:pPr>
            <w:r>
              <w:rPr>
                <w:rFonts w:ascii="宋体" w:hAnsi="宋体" w:eastAsia="宋体"/>
                <w:sz w:val="16"/>
              </w:rPr>
              <w:t>5.09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1FF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0EF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306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5EBE3">
            <w:pPr>
              <w:jc w:val="center"/>
            </w:pPr>
            <w:r>
              <w:rPr>
                <w:rFonts w:ascii="宋体" w:hAnsi="宋体" w:eastAsia="宋体"/>
                <w:sz w:val="16"/>
              </w:rPr>
              <w:t>—</w:t>
            </w:r>
          </w:p>
        </w:tc>
      </w:tr>
      <w:tr w14:paraId="48DF12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3AC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6EE7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4A7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64D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3311E">
            <w:pPr>
              <w:jc w:val="center"/>
            </w:pPr>
            <w:r>
              <w:rPr>
                <w:rFonts w:ascii="宋体" w:hAnsi="宋体" w:eastAsia="宋体"/>
                <w:sz w:val="16"/>
              </w:rPr>
              <w:t>4.98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86A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367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47BF4">
            <w:pPr>
              <w:jc w:val="center"/>
            </w:pPr>
            <w:r>
              <w:rPr>
                <w:rFonts w:ascii="宋体" w:hAnsi="宋体" w:eastAsia="宋体"/>
                <w:sz w:val="16"/>
              </w:rPr>
              <w:t>—</w:t>
            </w:r>
          </w:p>
        </w:tc>
      </w:tr>
      <w:tr w14:paraId="1BBFDE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659F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4608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1CEBEC">
            <w:pPr>
              <w:jc w:val="center"/>
            </w:pPr>
            <w:r>
              <w:rPr>
                <w:rFonts w:ascii="宋体" w:hAnsi="宋体" w:eastAsia="宋体"/>
                <w:sz w:val="16"/>
              </w:rPr>
              <w:t>实际完成情况</w:t>
            </w:r>
          </w:p>
        </w:tc>
      </w:tr>
      <w:tr w14:paraId="284EA4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3FFD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627BA9">
            <w:pPr>
              <w:jc w:val="both"/>
            </w:pPr>
            <w:r>
              <w:rPr>
                <w:rFonts w:ascii="宋体" w:hAnsi="宋体" w:eastAsia="宋体"/>
                <w:sz w:val="16"/>
              </w:rPr>
              <w:t>保障经费人员数量，资金及时支付，保障机关正常运行，保障办公人员数量20人，为机关办公提供有效支撑，为推进全面深化改革和政策研究做好保障。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FEC04C">
            <w:pPr>
              <w:jc w:val="both"/>
            </w:pPr>
            <w:r>
              <w:rPr>
                <w:rFonts w:ascii="宋体" w:hAnsi="宋体" w:eastAsia="宋体"/>
                <w:sz w:val="16"/>
              </w:rPr>
              <w:t>截至2024 年12月31日，该项目实际完成保障办公人员20人，采购办公用品1次，办公用品合格率100%；办公用品支出0.69万元，单位运转经费支出4.39万元，干部满意度100%。通过该项目的实施，保障单位正常运转，为机关办公提供有效支撑，为推进全面深化改革和政策研究做好保障。</w:t>
            </w:r>
          </w:p>
        </w:tc>
      </w:tr>
      <w:tr w14:paraId="2FB053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0B0E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75DA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4F08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856D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1E95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2145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BEDA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332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6636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52EB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0CEB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2937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E33E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16380">
            <w:pPr>
              <w:jc w:val="center"/>
            </w:pPr>
            <w:r>
              <w:rPr>
                <w:rFonts w:ascii="宋体" w:hAnsi="宋体" w:eastAsia="宋体"/>
                <w:sz w:val="16"/>
              </w:rPr>
              <w:t>偏差原因分析及改进措施</w:t>
            </w:r>
          </w:p>
        </w:tc>
      </w:tr>
      <w:tr w14:paraId="7EC5EB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A0C20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8BB23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8280B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77CA">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E5C2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F5B14">
            <w:pPr>
              <w:jc w:val="center"/>
            </w:pPr>
            <w:r>
              <w:rPr>
                <w:rFonts w:ascii="宋体" w:hAnsi="宋体" w:eastAsia="宋体"/>
                <w:sz w:val="16"/>
              </w:rPr>
              <w:t>&gt;=20人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07E4C">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371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37EA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666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E3D59">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CA9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7B882">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25204">
            <w:pPr>
              <w:jc w:val="center"/>
            </w:pPr>
          </w:p>
        </w:tc>
      </w:tr>
      <w:tr w14:paraId="711340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79F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974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68D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863C7">
            <w:pPr>
              <w:jc w:val="center"/>
            </w:pPr>
            <w:r>
              <w:rPr>
                <w:rFonts w:ascii="宋体" w:hAnsi="宋体" w:eastAsia="宋体"/>
                <w:sz w:val="16"/>
              </w:rPr>
              <w:t>购买办公用品1次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30D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EB1E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0E0E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0D1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375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A39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5D78C">
            <w:pPr>
              <w:jc w:val="center"/>
            </w:pPr>
            <w:r>
              <w:rPr>
                <w:rFonts w:ascii="宋体" w:hAnsi="宋体" w:eastAsia="宋体"/>
                <w:sz w:val="16"/>
              </w:rPr>
              <w:t>无，为新增工作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1B0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23E91">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F11CD">
            <w:pPr>
              <w:jc w:val="center"/>
            </w:pPr>
          </w:p>
        </w:tc>
      </w:tr>
      <w:tr w14:paraId="7962C2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FC3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5B0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5F19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8B0B5">
            <w:pPr>
              <w:jc w:val="center"/>
            </w:pPr>
            <w:r>
              <w:rPr>
                <w:rFonts w:ascii="宋体" w:hAnsi="宋体" w:eastAsia="宋体"/>
                <w:sz w:val="16"/>
              </w:rPr>
              <w:t>办公用品合格率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898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B6FB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BA5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C964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5FF11">
            <w:pPr>
              <w:jc w:val="center"/>
            </w:pPr>
            <w:r>
              <w:rPr>
                <w:rFonts w:ascii="宋体" w:hAnsi="宋体" w:eastAsia="宋体"/>
                <w:sz w:val="16"/>
              </w:rPr>
              <w:t>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820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5D0B0">
            <w:pPr>
              <w:jc w:val="center"/>
            </w:pPr>
            <w:r>
              <w:rPr>
                <w:rFonts w:ascii="宋体" w:hAnsi="宋体" w:eastAsia="宋体"/>
                <w:sz w:val="16"/>
              </w:rPr>
              <w:t>无，为新增工作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DCB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DE260">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8C2DE">
            <w:pPr>
              <w:jc w:val="center"/>
            </w:pPr>
            <w:r>
              <w:rPr>
                <w:rFonts w:ascii="宋体" w:hAnsi="宋体" w:eastAsia="宋体"/>
                <w:sz w:val="16"/>
              </w:rPr>
              <w:t>年初设置指标为90%，目标设定过于保守，执行效率较高超出预期，导致超额完成目标指标。</w:t>
            </w:r>
          </w:p>
        </w:tc>
      </w:tr>
      <w:tr w14:paraId="60D2D5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5957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4EE4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4B39A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EB99A">
            <w:pPr>
              <w:jc w:val="center"/>
            </w:pPr>
            <w:r>
              <w:rPr>
                <w:rFonts w:ascii="宋体" w:hAnsi="宋体" w:eastAsia="宋体"/>
                <w:sz w:val="16"/>
              </w:rPr>
              <w:t>办公用品支出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12E6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85E47">
            <w:pPr>
              <w:jc w:val="center"/>
            </w:pPr>
            <w:r>
              <w:rPr>
                <w:rFonts w:ascii="宋体" w:hAnsi="宋体" w:eastAsia="宋体"/>
                <w:sz w:val="16"/>
              </w:rPr>
              <w:t>&lt;=0.7万元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B64EE">
            <w:pPr>
              <w:jc w:val="center"/>
            </w:pPr>
            <w:r>
              <w:rPr>
                <w:rFonts w:ascii="宋体" w:hAnsi="宋体" w:eastAsia="宋体"/>
                <w:sz w:val="16"/>
              </w:rPr>
              <w:t>=0.69万元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23C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2B76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56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6A905">
            <w:pPr>
              <w:jc w:val="center"/>
            </w:pPr>
            <w:r>
              <w:rPr>
                <w:rFonts w:ascii="宋体" w:hAnsi="宋体" w:eastAsia="宋体"/>
                <w:sz w:val="16"/>
              </w:rPr>
              <w:t>无，为新增工作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07D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C14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80B2F">
            <w:pPr>
              <w:jc w:val="center"/>
            </w:pPr>
          </w:p>
        </w:tc>
      </w:tr>
      <w:tr w14:paraId="13D07B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8F4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B2D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0055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7840">
            <w:pPr>
              <w:jc w:val="center"/>
            </w:pPr>
            <w:r>
              <w:rPr>
                <w:rFonts w:ascii="宋体" w:hAnsi="宋体" w:eastAsia="宋体"/>
                <w:sz w:val="16"/>
              </w:rPr>
              <w:t>单位运转经费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A66A4">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58929">
            <w:pPr>
              <w:jc w:val="center"/>
            </w:pPr>
            <w:r>
              <w:rPr>
                <w:rFonts w:ascii="宋体" w:hAnsi="宋体" w:eastAsia="宋体"/>
                <w:sz w:val="16"/>
              </w:rPr>
              <w:t>&lt;=4.39万元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1F23A">
            <w:pPr>
              <w:jc w:val="center"/>
            </w:pPr>
            <w:r>
              <w:rPr>
                <w:rFonts w:ascii="宋体" w:hAnsi="宋体" w:eastAsia="宋体"/>
                <w:sz w:val="16"/>
              </w:rPr>
              <w:t>=4.29万元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A1E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AF1AF">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55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CD6A7">
            <w:pPr>
              <w:jc w:val="center"/>
            </w:pPr>
            <w:r>
              <w:rPr>
                <w:rFonts w:ascii="宋体" w:hAnsi="宋体" w:eastAsia="宋体"/>
                <w:sz w:val="16"/>
              </w:rPr>
              <w:t>无，为新增工作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212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354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7B201">
            <w:pPr>
              <w:jc w:val="center"/>
            </w:pPr>
          </w:p>
        </w:tc>
      </w:tr>
      <w:tr w14:paraId="4A8E17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BB1F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D6AB8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398D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5CA5C">
            <w:pPr>
              <w:jc w:val="center"/>
            </w:pPr>
            <w:r>
              <w:rPr>
                <w:rFonts w:ascii="宋体" w:hAnsi="宋体" w:eastAsia="宋体"/>
                <w:sz w:val="16"/>
              </w:rPr>
              <w:t>保障单位正常运转，为机关办公提供有效支撑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5B4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DC64F">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A008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903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13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F92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F5F5F">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720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E82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57158">
            <w:pPr>
              <w:jc w:val="center"/>
            </w:pPr>
          </w:p>
        </w:tc>
      </w:tr>
      <w:tr w14:paraId="02EEAA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C66E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10F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FAC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B4AE2">
            <w:pPr>
              <w:jc w:val="center"/>
            </w:pPr>
            <w:r>
              <w:rPr>
                <w:rFonts w:ascii="宋体" w:hAnsi="宋体" w:eastAsia="宋体"/>
                <w:sz w:val="16"/>
              </w:rPr>
              <w:t>为推进全面深化改革和政策研究做好保障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AD5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C4A4A">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8FAE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A42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657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42A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6742E">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126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923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4FC6D">
            <w:pPr>
              <w:jc w:val="center"/>
            </w:pPr>
          </w:p>
        </w:tc>
      </w:tr>
      <w:tr w14:paraId="59A672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C8E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967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FA2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1AF55">
            <w:pPr>
              <w:jc w:val="center"/>
            </w:pPr>
            <w:r>
              <w:rPr>
                <w:rFonts w:ascii="宋体" w:hAnsi="宋体" w:eastAsia="宋体"/>
                <w:sz w:val="16"/>
              </w:rPr>
              <w:t>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74B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43C1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6B9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FEA7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7C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071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5C13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86D0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93C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3E48C">
            <w:pPr>
              <w:jc w:val="center"/>
            </w:pPr>
            <w:r>
              <w:rPr>
                <w:rFonts w:ascii="宋体" w:hAnsi="宋体" w:eastAsia="宋体"/>
                <w:sz w:val="16"/>
              </w:rPr>
              <w:t>年初设置指标为90%，目标设定过于保守，执行效率较高超出预期，导致超额完成目标指标。</w:t>
            </w:r>
          </w:p>
        </w:tc>
      </w:tr>
      <w:tr w14:paraId="7CF23F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C2CA2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397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E09C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3449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3EC3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DDFC5">
            <w:pPr>
              <w:jc w:val="center"/>
            </w:pPr>
            <w:r>
              <w:rPr>
                <w:rFonts w:ascii="宋体" w:hAnsi="宋体" w:eastAsia="宋体"/>
                <w:sz w:val="16"/>
              </w:rPr>
              <w:t>98.33分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6ADF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1145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3253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AFDF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B2FF8"/>
        </w:tc>
      </w:tr>
    </w:tbl>
    <w:p w14:paraId="109301E3">
      <w:r>
        <w:br w:type="page"/>
      </w:r>
    </w:p>
    <w:tbl>
      <w:tblPr>
        <w:tblStyle w:val="9"/>
        <w:tblW w:w="0" w:type="auto"/>
        <w:tblInd w:w="0" w:type="dxa"/>
        <w:tblLayout w:type="autofit"/>
        <w:tblCellMar>
          <w:top w:w="0" w:type="dxa"/>
          <w:left w:w="108" w:type="dxa"/>
          <w:bottom w:w="0" w:type="dxa"/>
          <w:right w:w="108" w:type="dxa"/>
        </w:tblCellMar>
      </w:tblPr>
      <w:tblGrid>
        <w:gridCol w:w="620"/>
        <w:gridCol w:w="599"/>
        <w:gridCol w:w="599"/>
        <w:gridCol w:w="620"/>
        <w:gridCol w:w="610"/>
        <w:gridCol w:w="776"/>
        <w:gridCol w:w="696"/>
        <w:gridCol w:w="776"/>
        <w:gridCol w:w="630"/>
        <w:gridCol w:w="599"/>
        <w:gridCol w:w="696"/>
        <w:gridCol w:w="599"/>
        <w:gridCol w:w="610"/>
        <w:gridCol w:w="630"/>
      </w:tblGrid>
      <w:tr w14:paraId="3F481395">
        <w:tblPrEx>
          <w:tblCellMar>
            <w:top w:w="0" w:type="dxa"/>
            <w:left w:w="108" w:type="dxa"/>
            <w:bottom w:w="0" w:type="dxa"/>
            <w:right w:w="108" w:type="dxa"/>
          </w:tblCellMar>
        </w:tblPrEx>
        <w:tc>
          <w:tcPr>
            <w:tcW w:w="8848" w:type="dxa"/>
            <w:gridSpan w:val="14"/>
            <w:vAlign w:val="center"/>
          </w:tcPr>
          <w:p w14:paraId="382C3891">
            <w:pPr>
              <w:jc w:val="center"/>
            </w:pPr>
            <w:r>
              <w:rPr>
                <w:rFonts w:ascii="宋体" w:hAnsi="宋体" w:eastAsia="宋体"/>
                <w:sz w:val="24"/>
              </w:rPr>
              <w:t>项目支出绩效自评表</w:t>
            </w:r>
          </w:p>
        </w:tc>
      </w:tr>
      <w:tr w14:paraId="023673F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A0DF7F">
            <w:pPr>
              <w:jc w:val="center"/>
            </w:pPr>
            <w:r>
              <w:rPr>
                <w:rFonts w:ascii="宋体" w:hAnsi="宋体" w:eastAsia="宋体"/>
                <w:sz w:val="24"/>
              </w:rPr>
              <w:t>(2024年度)</w:t>
            </w:r>
          </w:p>
        </w:tc>
      </w:tr>
      <w:tr w14:paraId="2DBFA7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F9D6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030C3C">
            <w:pPr>
              <w:jc w:val="center"/>
            </w:pPr>
            <w:r>
              <w:rPr>
                <w:rFonts w:ascii="宋体" w:hAnsi="宋体" w:eastAsia="宋体"/>
                <w:sz w:val="16"/>
              </w:rPr>
              <w:t>机关运行补助经费项目</w:t>
            </w:r>
          </w:p>
        </w:tc>
      </w:tr>
      <w:tr w14:paraId="0C30EB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45D0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79EB1E">
            <w:pPr>
              <w:jc w:val="center"/>
            </w:pPr>
            <w:r>
              <w:rPr>
                <w:rFonts w:ascii="宋体" w:hAnsi="宋体" w:eastAsia="宋体"/>
                <w:sz w:val="16"/>
              </w:rPr>
              <w:t>中共昌吉回族自治州委员会政策研究室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17F1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6ECEFF">
            <w:pPr>
              <w:jc w:val="center"/>
            </w:pPr>
            <w:r>
              <w:rPr>
                <w:rFonts w:ascii="宋体" w:hAnsi="宋体" w:eastAsia="宋体"/>
                <w:sz w:val="16"/>
              </w:rPr>
              <w:t>中共昌吉回族自治州委员会政策研究室</w:t>
            </w:r>
          </w:p>
        </w:tc>
      </w:tr>
      <w:tr w14:paraId="4F3BF2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55A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4167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69D7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DA34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91AC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664E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E81D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B5116">
            <w:pPr>
              <w:jc w:val="center"/>
            </w:pPr>
            <w:r>
              <w:rPr>
                <w:rFonts w:ascii="宋体" w:hAnsi="宋体" w:eastAsia="宋体"/>
                <w:sz w:val="16"/>
              </w:rPr>
              <w:t>得分</w:t>
            </w:r>
          </w:p>
        </w:tc>
      </w:tr>
      <w:tr w14:paraId="53B4D3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1C8B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D0B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A58F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E8693">
            <w:pPr>
              <w:jc w:val="center"/>
            </w:pPr>
            <w:r>
              <w:rPr>
                <w:rFonts w:ascii="宋体" w:hAnsi="宋体" w:eastAsia="宋体"/>
                <w:sz w:val="16"/>
              </w:rPr>
              <w:t>24.68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3F14C">
            <w:pPr>
              <w:jc w:val="center"/>
            </w:pPr>
            <w:r>
              <w:rPr>
                <w:rFonts w:ascii="宋体" w:hAnsi="宋体" w:eastAsia="宋体"/>
                <w:sz w:val="16"/>
              </w:rPr>
              <w:t>24.68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27D7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41AC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F2E3A">
            <w:pPr>
              <w:jc w:val="center"/>
            </w:pPr>
            <w:r>
              <w:rPr>
                <w:rFonts w:ascii="宋体" w:hAnsi="宋体" w:eastAsia="宋体"/>
                <w:sz w:val="16"/>
              </w:rPr>
              <w:t>10.00</w:t>
            </w:r>
          </w:p>
        </w:tc>
      </w:tr>
      <w:tr w14:paraId="395367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699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4CC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AFDD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1A7A0">
            <w:pPr>
              <w:jc w:val="center"/>
            </w:pPr>
            <w:r>
              <w:rPr>
                <w:rFonts w:ascii="宋体" w:hAnsi="宋体" w:eastAsia="宋体"/>
                <w:sz w:val="16"/>
              </w:rPr>
              <w:t>24.68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75A72">
            <w:pPr>
              <w:jc w:val="center"/>
            </w:pPr>
            <w:r>
              <w:rPr>
                <w:rFonts w:ascii="宋体" w:hAnsi="宋体" w:eastAsia="宋体"/>
                <w:sz w:val="16"/>
              </w:rPr>
              <w:t>24.68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7C8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C9A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FDC3C">
            <w:pPr>
              <w:jc w:val="center"/>
            </w:pPr>
            <w:r>
              <w:rPr>
                <w:rFonts w:ascii="宋体" w:hAnsi="宋体" w:eastAsia="宋体"/>
                <w:sz w:val="16"/>
              </w:rPr>
              <w:t>—</w:t>
            </w:r>
          </w:p>
        </w:tc>
      </w:tr>
      <w:tr w14:paraId="66AB31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F1F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C69B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9F6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BB2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CC9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49D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FDD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7DE12">
            <w:pPr>
              <w:jc w:val="center"/>
            </w:pPr>
            <w:r>
              <w:rPr>
                <w:rFonts w:ascii="宋体" w:hAnsi="宋体" w:eastAsia="宋体"/>
                <w:sz w:val="16"/>
              </w:rPr>
              <w:t>—</w:t>
            </w:r>
          </w:p>
        </w:tc>
      </w:tr>
      <w:tr w14:paraId="77D1AF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2A2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DD474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B1484D">
            <w:pPr>
              <w:jc w:val="center"/>
            </w:pPr>
            <w:r>
              <w:rPr>
                <w:rFonts w:ascii="宋体" w:hAnsi="宋体" w:eastAsia="宋体"/>
                <w:sz w:val="16"/>
              </w:rPr>
              <w:t>实际完成情况</w:t>
            </w:r>
          </w:p>
        </w:tc>
      </w:tr>
      <w:tr w14:paraId="6C0DC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8450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59E54F">
            <w:pPr>
              <w:jc w:val="both"/>
            </w:pPr>
            <w:r>
              <w:rPr>
                <w:rFonts w:ascii="宋体" w:hAnsi="宋体" w:eastAsia="宋体"/>
                <w:sz w:val="16"/>
              </w:rPr>
              <w:t>保障</w:t>
            </w:r>
            <w:r>
              <w:rPr>
                <w:rFonts w:hint="eastAsia" w:ascii="宋体" w:hAnsi="宋体"/>
                <w:sz w:val="16"/>
                <w:lang w:eastAsia="zh-CN"/>
              </w:rPr>
              <w:t>全面深化改革</w:t>
            </w:r>
            <w:r>
              <w:rPr>
                <w:rFonts w:ascii="宋体" w:hAnsi="宋体" w:eastAsia="宋体"/>
                <w:sz w:val="16"/>
              </w:rPr>
              <w:t>、政策研究业务正常运行。采购办公用品次数1次，保障办公人员数量20人，保障单位正常运转，为机关办公提供有效支撑，为推进全面深化改革和政策研究做好保障。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2BB199">
            <w:pPr>
              <w:jc w:val="both"/>
            </w:pPr>
            <w:r>
              <w:rPr>
                <w:rFonts w:ascii="宋体" w:hAnsi="宋体" w:eastAsia="宋体"/>
                <w:sz w:val="16"/>
              </w:rPr>
              <w:t>截至2024 年12月31日，该项目实际完成保障办公人员20人，采购办公用品1次，办公用品合格率100%；车辆租赁费支出3.5万元，物业费支出4.71万元，单位运转经费支出16.38万元，干部满意度100%。通过该项目的实施，保障单位正常运转，为机关办公提供有效支撑，为推进全面深化改革和政策研究做好保障。</w:t>
            </w:r>
          </w:p>
        </w:tc>
      </w:tr>
      <w:tr w14:paraId="204ED8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C9CE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E151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C03F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728C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8D8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E7F6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4A22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195F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ABD6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73A3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274F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18C0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CF86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E4479">
            <w:pPr>
              <w:jc w:val="center"/>
            </w:pPr>
            <w:r>
              <w:rPr>
                <w:rFonts w:ascii="宋体" w:hAnsi="宋体" w:eastAsia="宋体"/>
                <w:sz w:val="16"/>
              </w:rPr>
              <w:t>偏差原因分析及改进措施</w:t>
            </w:r>
          </w:p>
        </w:tc>
      </w:tr>
      <w:tr w14:paraId="62CEAB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BE45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8F306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262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78436">
            <w:pPr>
              <w:jc w:val="center"/>
            </w:pPr>
            <w:r>
              <w:rPr>
                <w:rFonts w:ascii="宋体" w:hAnsi="宋体" w:eastAsia="宋体"/>
                <w:sz w:val="16"/>
              </w:rPr>
              <w:t>采购办公用品次数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C6DE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3626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C6C0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008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4CB3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F93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4C36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3A9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3D7ED">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D1BA9">
            <w:pPr>
              <w:jc w:val="center"/>
            </w:pPr>
          </w:p>
        </w:tc>
      </w:tr>
      <w:tr w14:paraId="43071A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4A6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C47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F4F1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87694">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664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C63C1">
            <w:pPr>
              <w:jc w:val="center"/>
            </w:pPr>
            <w:r>
              <w:rPr>
                <w:rFonts w:ascii="宋体" w:hAnsi="宋体" w:eastAsia="宋体"/>
                <w:sz w:val="16"/>
              </w:rPr>
              <w:t>&gt;=20人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A7E73">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09E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28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07B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039B7">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411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20BCA">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AB714">
            <w:pPr>
              <w:jc w:val="center"/>
            </w:pPr>
          </w:p>
        </w:tc>
      </w:tr>
      <w:tr w14:paraId="1CAC55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21E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609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621B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45148">
            <w:pPr>
              <w:jc w:val="center"/>
            </w:pPr>
            <w:r>
              <w:rPr>
                <w:rFonts w:ascii="宋体" w:hAnsi="宋体" w:eastAsia="宋体"/>
                <w:sz w:val="16"/>
              </w:rPr>
              <w:t>办公用品合格率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CCAC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19B0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40C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26C8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DF7B0">
            <w:pPr>
              <w:jc w:val="center"/>
            </w:pPr>
            <w:r>
              <w:rPr>
                <w:rFonts w:ascii="宋体" w:hAnsi="宋体" w:eastAsia="宋体"/>
                <w:sz w:val="16"/>
              </w:rPr>
              <w:t>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C2C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959A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93A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D6426">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F94AC">
            <w:pPr>
              <w:jc w:val="center"/>
            </w:pPr>
            <w:r>
              <w:rPr>
                <w:rFonts w:ascii="宋体" w:hAnsi="宋体" w:eastAsia="宋体"/>
                <w:sz w:val="16"/>
              </w:rPr>
              <w:t>年初设置指标为90%，目标设定过于保守，执行效率较高超出预期，导致超额完成目标指标。</w:t>
            </w:r>
          </w:p>
        </w:tc>
      </w:tr>
      <w:tr w14:paraId="619A23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9583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07D64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398F5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EB9D9">
            <w:pPr>
              <w:jc w:val="center"/>
            </w:pPr>
            <w:r>
              <w:rPr>
                <w:rFonts w:ascii="宋体" w:hAnsi="宋体" w:eastAsia="宋体"/>
                <w:sz w:val="16"/>
              </w:rPr>
              <w:t>车辆租赁费支出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A89A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29100">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E7E9A">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240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A34A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C8C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CD7B6">
            <w:pPr>
              <w:jc w:val="center"/>
            </w:pPr>
            <w:r>
              <w:rPr>
                <w:rFonts w:ascii="宋体" w:hAnsi="宋体" w:eastAsia="宋体"/>
                <w:sz w:val="16"/>
              </w:rPr>
              <w:t>无，2023年无此项指标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102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2347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AB436">
            <w:pPr>
              <w:jc w:val="center"/>
            </w:pPr>
          </w:p>
        </w:tc>
      </w:tr>
      <w:tr w14:paraId="001341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812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E57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4B6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A05D8">
            <w:pPr>
              <w:jc w:val="center"/>
            </w:pPr>
            <w:r>
              <w:rPr>
                <w:rFonts w:ascii="宋体" w:hAnsi="宋体" w:eastAsia="宋体"/>
                <w:sz w:val="16"/>
              </w:rPr>
              <w:t>物业费支出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3501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37167">
            <w:pPr>
              <w:jc w:val="center"/>
            </w:pPr>
            <w:r>
              <w:rPr>
                <w:rFonts w:ascii="宋体" w:hAnsi="宋体" w:eastAsia="宋体"/>
                <w:sz w:val="16"/>
              </w:rPr>
              <w:t>&lt;=4.8万元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3F8F1">
            <w:pPr>
              <w:jc w:val="center"/>
            </w:pPr>
            <w:r>
              <w:rPr>
                <w:rFonts w:ascii="宋体" w:hAnsi="宋体" w:eastAsia="宋体"/>
                <w:sz w:val="16"/>
              </w:rPr>
              <w: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852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20CD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76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659E8">
            <w:pPr>
              <w:jc w:val="center"/>
            </w:pPr>
            <w:r>
              <w:rPr>
                <w:rFonts w:ascii="宋体" w:hAnsi="宋体" w:eastAsia="宋体"/>
                <w:sz w:val="16"/>
              </w:rPr>
              <w:t>&lt;=5.50万元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892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41C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E3CC5">
            <w:pPr>
              <w:jc w:val="center"/>
            </w:pPr>
          </w:p>
        </w:tc>
      </w:tr>
      <w:tr w14:paraId="775F04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A68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CD1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216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30AAE">
            <w:pPr>
              <w:jc w:val="center"/>
            </w:pPr>
            <w:r>
              <w:rPr>
                <w:rFonts w:ascii="宋体" w:hAnsi="宋体" w:eastAsia="宋体"/>
                <w:sz w:val="16"/>
              </w:rPr>
              <w:t>单位运转经费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0A74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FCA3B">
            <w:pPr>
              <w:jc w:val="center"/>
            </w:pPr>
            <w:r>
              <w:rPr>
                <w:rFonts w:ascii="宋体" w:hAnsi="宋体" w:eastAsia="宋体"/>
                <w:sz w:val="16"/>
              </w:rPr>
              <w:t>&lt;=16.38万元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7216F">
            <w:pPr>
              <w:jc w:val="center"/>
            </w:pPr>
            <w:r>
              <w:rPr>
                <w:rFonts w:ascii="宋体" w:hAnsi="宋体" w:eastAsia="宋体"/>
                <w:sz w:val="16"/>
              </w:rPr>
              <w:t>=16.38万元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BDF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06DD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59F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A6E9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451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207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BEA3D">
            <w:pPr>
              <w:jc w:val="center"/>
            </w:pPr>
          </w:p>
        </w:tc>
      </w:tr>
      <w:tr w14:paraId="718B87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0DA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510C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DADF8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300B4">
            <w:pPr>
              <w:jc w:val="center"/>
            </w:pPr>
            <w:r>
              <w:rPr>
                <w:rFonts w:ascii="宋体" w:hAnsi="宋体" w:eastAsia="宋体"/>
                <w:sz w:val="16"/>
              </w:rPr>
              <w:t>保障单位正常运转，为机关办公提供有效支撑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FD2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C685F">
            <w:pPr>
              <w:jc w:val="center"/>
            </w:pPr>
            <w:r>
              <w:rPr>
                <w:rFonts w:ascii="宋体" w:hAnsi="宋体" w:eastAsia="宋体"/>
                <w:sz w:val="16"/>
              </w:rPr>
              <w:t>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C88E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F46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72A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92D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99CB6">
            <w:pPr>
              <w:jc w:val="center"/>
            </w:pPr>
            <w:r>
              <w:rPr>
                <w:rFonts w:ascii="宋体" w:hAnsi="宋体" w:eastAsia="宋体"/>
                <w:sz w:val="16"/>
              </w:rPr>
              <w:t>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DB5D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FE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BA031">
            <w:pPr>
              <w:jc w:val="center"/>
            </w:pPr>
          </w:p>
        </w:tc>
      </w:tr>
      <w:tr w14:paraId="72CEBA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D78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9AF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8D0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5C4DE">
            <w:pPr>
              <w:jc w:val="center"/>
            </w:pPr>
            <w:r>
              <w:rPr>
                <w:rFonts w:ascii="宋体" w:hAnsi="宋体" w:eastAsia="宋体"/>
                <w:sz w:val="16"/>
              </w:rPr>
              <w:t>为推进全面深化改革和政策研究做好保障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3B0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70A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D553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FC1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111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95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0BB7D">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1E72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C10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4ED0E">
            <w:pPr>
              <w:jc w:val="center"/>
            </w:pPr>
          </w:p>
        </w:tc>
      </w:tr>
      <w:tr w14:paraId="6E6A0B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5C3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B50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F2E9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4FD1F">
            <w:pPr>
              <w:jc w:val="center"/>
            </w:pPr>
            <w:r>
              <w:rPr>
                <w:rFonts w:ascii="宋体" w:hAnsi="宋体" w:eastAsia="宋体"/>
                <w:sz w:val="16"/>
              </w:rPr>
              <w:t>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5CC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C063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008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E0B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2A8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8E1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A60E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97A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2D7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45C47">
            <w:pPr>
              <w:jc w:val="center"/>
            </w:pPr>
            <w:r>
              <w:rPr>
                <w:rFonts w:ascii="宋体" w:hAnsi="宋体" w:eastAsia="宋体"/>
                <w:sz w:val="16"/>
              </w:rPr>
              <w:t>年初设置指标为90%，目标设定过于保守，执行效率较高超出预期，导致超额完成目标指标。</w:t>
            </w:r>
          </w:p>
        </w:tc>
      </w:tr>
      <w:tr w14:paraId="75D22E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5EA52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22C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FAF2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5672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39E4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DB1C5">
            <w:pPr>
              <w:jc w:val="center"/>
            </w:pPr>
            <w:r>
              <w:rPr>
                <w:rFonts w:ascii="宋体" w:hAnsi="宋体" w:eastAsia="宋体"/>
                <w:sz w:val="16"/>
              </w:rPr>
              <w:t>98.33分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1CFF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4DCF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E4B8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5ABC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558D57"/>
        </w:tc>
      </w:tr>
    </w:tbl>
    <w:p w14:paraId="35296188">
      <w:r>
        <w:br w:type="page"/>
      </w:r>
    </w:p>
    <w:p w14:paraId="75B5ABEA">
      <w:pPr>
        <w:spacing w:line="640" w:lineRule="exact"/>
        <w:ind w:firstLine="640"/>
        <w:jc w:val="both"/>
        <w:outlineLvl w:val="2"/>
      </w:pPr>
      <w:r>
        <w:rPr>
          <w:rFonts w:ascii="黑体" w:hAnsi="黑体" w:eastAsia="黑体"/>
          <w:sz w:val="32"/>
        </w:rPr>
        <w:t>十二、其他需说明的事项</w:t>
      </w:r>
    </w:p>
    <w:p w14:paraId="1D61FA13">
      <w:pPr>
        <w:spacing w:line="580" w:lineRule="exact"/>
        <w:ind w:firstLine="640"/>
        <w:jc w:val="both"/>
      </w:pPr>
      <w:r>
        <w:rPr>
          <w:rFonts w:ascii="仿宋_GB2312" w:hAnsi="仿宋_GB2312" w:eastAsia="仿宋_GB2312"/>
          <w:b w:val="0"/>
          <w:sz w:val="32"/>
        </w:rPr>
        <w:t>本单位无其他需说明的事项。</w:t>
      </w:r>
    </w:p>
    <w:p w14:paraId="3F168FF0">
      <w:r>
        <w:br w:type="page"/>
      </w:r>
    </w:p>
    <w:p w14:paraId="01D97560">
      <w:pPr>
        <w:spacing w:line="240" w:lineRule="auto"/>
        <w:jc w:val="center"/>
        <w:outlineLvl w:val="1"/>
      </w:pPr>
      <w:r>
        <w:rPr>
          <w:rFonts w:ascii="黑体" w:hAnsi="黑体" w:eastAsia="黑体"/>
          <w:sz w:val="32"/>
        </w:rPr>
        <w:t>第三部分 专业名词解释</w:t>
      </w:r>
    </w:p>
    <w:p w14:paraId="4C30CFD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9275A6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BC58F7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42731D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CE35F7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F98796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1FEC28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B2585A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47FAD2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7E4766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8F1264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705706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77D36F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03219F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5A69C43">
      <w:r>
        <w:br w:type="page"/>
      </w:r>
    </w:p>
    <w:p w14:paraId="6E08A1E0">
      <w:pPr>
        <w:spacing w:line="240" w:lineRule="auto"/>
        <w:jc w:val="center"/>
        <w:outlineLvl w:val="1"/>
      </w:pPr>
      <w:r>
        <w:rPr>
          <w:rFonts w:ascii="黑体" w:hAnsi="黑体" w:eastAsia="黑体"/>
          <w:sz w:val="32"/>
        </w:rPr>
        <w:t>第四部分 部门决算报表（见附表）</w:t>
      </w:r>
    </w:p>
    <w:p w14:paraId="42E20A8C">
      <w:pPr>
        <w:spacing w:line="240" w:lineRule="auto"/>
        <w:ind w:firstLine="640"/>
        <w:jc w:val="both"/>
      </w:pPr>
      <w:r>
        <w:rPr>
          <w:rFonts w:ascii="仿宋_GB2312" w:hAnsi="仿宋_GB2312" w:eastAsia="仿宋_GB2312"/>
          <w:b w:val="0"/>
          <w:sz w:val="32"/>
        </w:rPr>
        <w:t>一、《收入支出决算总表》</w:t>
      </w:r>
    </w:p>
    <w:p w14:paraId="316AA9CC">
      <w:pPr>
        <w:spacing w:line="240" w:lineRule="auto"/>
        <w:ind w:firstLine="640"/>
        <w:jc w:val="both"/>
      </w:pPr>
      <w:r>
        <w:rPr>
          <w:rFonts w:ascii="仿宋_GB2312" w:hAnsi="仿宋_GB2312" w:eastAsia="仿宋_GB2312"/>
          <w:b w:val="0"/>
          <w:sz w:val="32"/>
        </w:rPr>
        <w:t>二、《收入决算表》</w:t>
      </w:r>
    </w:p>
    <w:p w14:paraId="7A6A715A">
      <w:pPr>
        <w:spacing w:line="240" w:lineRule="auto"/>
        <w:ind w:firstLine="640"/>
        <w:jc w:val="both"/>
      </w:pPr>
      <w:r>
        <w:rPr>
          <w:rFonts w:ascii="仿宋_GB2312" w:hAnsi="仿宋_GB2312" w:eastAsia="仿宋_GB2312"/>
          <w:b w:val="0"/>
          <w:sz w:val="32"/>
        </w:rPr>
        <w:t>三、《支出决算表》</w:t>
      </w:r>
    </w:p>
    <w:p w14:paraId="2477B458">
      <w:pPr>
        <w:spacing w:line="240" w:lineRule="auto"/>
        <w:ind w:firstLine="640"/>
        <w:jc w:val="both"/>
      </w:pPr>
      <w:r>
        <w:rPr>
          <w:rFonts w:ascii="仿宋_GB2312" w:hAnsi="仿宋_GB2312" w:eastAsia="仿宋_GB2312"/>
          <w:b w:val="0"/>
          <w:sz w:val="32"/>
        </w:rPr>
        <w:t>四、《财政拨款收入支出决算总表》</w:t>
      </w:r>
    </w:p>
    <w:p w14:paraId="7919F28C">
      <w:pPr>
        <w:spacing w:line="240" w:lineRule="auto"/>
        <w:ind w:firstLine="640"/>
        <w:jc w:val="both"/>
      </w:pPr>
      <w:r>
        <w:rPr>
          <w:rFonts w:ascii="仿宋_GB2312" w:hAnsi="仿宋_GB2312" w:eastAsia="仿宋_GB2312"/>
          <w:b w:val="0"/>
          <w:sz w:val="32"/>
        </w:rPr>
        <w:t>五、《一般公共预算财政拨款支出决算表》</w:t>
      </w:r>
    </w:p>
    <w:p w14:paraId="42C99F50">
      <w:pPr>
        <w:spacing w:line="240" w:lineRule="auto"/>
        <w:ind w:firstLine="640"/>
        <w:jc w:val="both"/>
      </w:pPr>
      <w:r>
        <w:rPr>
          <w:rFonts w:ascii="仿宋_GB2312" w:hAnsi="仿宋_GB2312" w:eastAsia="仿宋_GB2312"/>
          <w:b w:val="0"/>
          <w:sz w:val="32"/>
        </w:rPr>
        <w:t>六、《一般公共预算财政拨款基本支出决算表》</w:t>
      </w:r>
    </w:p>
    <w:p w14:paraId="126375DA">
      <w:pPr>
        <w:spacing w:line="240" w:lineRule="auto"/>
        <w:ind w:firstLine="640"/>
        <w:jc w:val="both"/>
      </w:pPr>
      <w:r>
        <w:rPr>
          <w:rFonts w:ascii="仿宋_GB2312" w:hAnsi="仿宋_GB2312" w:eastAsia="仿宋_GB2312"/>
          <w:b w:val="0"/>
          <w:sz w:val="32"/>
        </w:rPr>
        <w:t>七、《政府性基金预算财政拨款收入支出决算表》</w:t>
      </w:r>
    </w:p>
    <w:p w14:paraId="709BF49E">
      <w:pPr>
        <w:spacing w:line="240" w:lineRule="auto"/>
        <w:ind w:firstLine="640"/>
        <w:jc w:val="both"/>
      </w:pPr>
      <w:r>
        <w:rPr>
          <w:rFonts w:ascii="仿宋_GB2312" w:hAnsi="仿宋_GB2312" w:eastAsia="仿宋_GB2312"/>
          <w:b w:val="0"/>
          <w:sz w:val="32"/>
        </w:rPr>
        <w:t>八、《国有资本经营预算财政拨款收入支出决算表》</w:t>
      </w:r>
    </w:p>
    <w:p w14:paraId="6FA39AF3">
      <w:pPr>
        <w:spacing w:line="240" w:lineRule="auto"/>
        <w:ind w:firstLine="640"/>
        <w:jc w:val="both"/>
      </w:pPr>
      <w:r>
        <w:rPr>
          <w:rFonts w:ascii="仿宋_GB2312" w:hAnsi="仿宋_GB2312" w:eastAsia="仿宋_GB2312"/>
          <w:b w:val="0"/>
          <w:sz w:val="32"/>
        </w:rPr>
        <w:t>九、《财政拨款“三公”经费支出决算表》</w:t>
      </w:r>
    </w:p>
    <w:p w14:paraId="65EBB227">
      <w:pPr>
        <w:spacing w:line="240" w:lineRule="auto"/>
        <w:ind w:firstLine="640"/>
        <w:jc w:val="both"/>
      </w:pPr>
    </w:p>
    <w:p w14:paraId="5DC50250">
      <w:pPr>
        <w:spacing w:line="240" w:lineRule="auto"/>
        <w:ind w:firstLine="640"/>
        <w:jc w:val="both"/>
      </w:pPr>
    </w:p>
    <w:p w14:paraId="62182BDB">
      <w:pPr>
        <w:spacing w:line="240" w:lineRule="auto"/>
        <w:ind w:firstLine="640"/>
        <w:jc w:val="both"/>
      </w:pPr>
    </w:p>
    <w:p w14:paraId="1A92BF04">
      <w:pPr>
        <w:spacing w:line="240" w:lineRule="auto"/>
        <w:ind w:firstLine="640"/>
        <w:jc w:val="both"/>
      </w:pPr>
    </w:p>
    <w:p w14:paraId="6848F0A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96864B-5C8C-499E-A545-BF07E99611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647B5AC-062D-4F94-8CE5-36702D4FA61A}"/>
  </w:font>
  <w:font w:name="仿宋_GB2312">
    <w:panose1 w:val="02010609030101010101"/>
    <w:charset w:val="86"/>
    <w:family w:val="modern"/>
    <w:pitch w:val="default"/>
    <w:sig w:usb0="00000001" w:usb1="080E0000" w:usb2="00000000" w:usb3="00000000" w:csb0="00040000" w:csb1="00000000"/>
    <w:embedRegular r:id="rId3" w:fontKey="{7CFC2C83-00DC-420B-BC97-2FF504F4244B}"/>
  </w:font>
  <w:font w:name="楷体_GB2312">
    <w:panose1 w:val="02010609030101010101"/>
    <w:charset w:val="86"/>
    <w:family w:val="auto"/>
    <w:pitch w:val="default"/>
    <w:sig w:usb0="00000001" w:usb1="080E0000" w:usb2="00000000" w:usb3="00000000" w:csb0="00040000" w:csb1="00000000"/>
    <w:embedRegular r:id="rId4" w:fontKey="{94AFB0C4-34B2-46DF-B5CB-C5457053CA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8AF2D83"/>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9273CB6"/>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10320</Words>
  <Characters>11740</Characters>
  <Lines>0</Lines>
  <Paragraphs>0</Paragraphs>
  <TotalTime>27</TotalTime>
  <ScaleCrop>false</ScaleCrop>
  <LinksUpToDate>false</LinksUpToDate>
  <CharactersWithSpaces>11758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2025-10-15T02:57:18Z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