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7AA6F"/>
    <w:p w14:paraId="179580A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70215D2">
      <w:pPr>
        <w:spacing w:line="540" w:lineRule="exact"/>
        <w:jc w:val="center"/>
        <w:rPr>
          <w:rFonts w:ascii="华文中宋" w:hAnsi="华文中宋" w:eastAsia="华文中宋" w:cs="宋体"/>
          <w:b/>
          <w:kern w:val="0"/>
          <w:sz w:val="52"/>
          <w:szCs w:val="52"/>
        </w:rPr>
      </w:pPr>
    </w:p>
    <w:p w14:paraId="4940955F">
      <w:pPr>
        <w:spacing w:line="540" w:lineRule="exact"/>
        <w:jc w:val="center"/>
        <w:rPr>
          <w:rFonts w:ascii="华文中宋" w:hAnsi="华文中宋" w:eastAsia="华文中宋" w:cs="宋体"/>
          <w:b/>
          <w:kern w:val="0"/>
          <w:sz w:val="52"/>
          <w:szCs w:val="52"/>
        </w:rPr>
      </w:pPr>
    </w:p>
    <w:p w14:paraId="03CB87F7">
      <w:pPr>
        <w:spacing w:line="540" w:lineRule="exact"/>
        <w:jc w:val="center"/>
        <w:rPr>
          <w:rFonts w:ascii="华文中宋" w:hAnsi="华文中宋" w:eastAsia="华文中宋" w:cs="宋体"/>
          <w:b/>
          <w:kern w:val="0"/>
          <w:sz w:val="52"/>
          <w:szCs w:val="52"/>
        </w:rPr>
      </w:pPr>
    </w:p>
    <w:p w14:paraId="14E9CBCD">
      <w:pPr>
        <w:spacing w:line="540" w:lineRule="exact"/>
        <w:jc w:val="center"/>
        <w:rPr>
          <w:rFonts w:ascii="华文中宋" w:hAnsi="华文中宋" w:eastAsia="华文中宋" w:cs="宋体"/>
          <w:b/>
          <w:kern w:val="0"/>
          <w:sz w:val="52"/>
          <w:szCs w:val="52"/>
        </w:rPr>
      </w:pPr>
    </w:p>
    <w:p w14:paraId="0C5A99E7">
      <w:pPr>
        <w:spacing w:line="540" w:lineRule="exact"/>
        <w:jc w:val="center"/>
        <w:rPr>
          <w:rFonts w:ascii="华文中宋" w:hAnsi="华文中宋" w:eastAsia="华文中宋" w:cs="宋体"/>
          <w:b/>
          <w:kern w:val="0"/>
          <w:sz w:val="52"/>
          <w:szCs w:val="52"/>
        </w:rPr>
      </w:pPr>
    </w:p>
    <w:p w14:paraId="4E37DEDC">
      <w:pPr>
        <w:spacing w:line="540" w:lineRule="exact"/>
        <w:jc w:val="center"/>
        <w:rPr>
          <w:rFonts w:ascii="华文中宋" w:hAnsi="华文中宋" w:eastAsia="华文中宋" w:cs="宋体"/>
          <w:b/>
          <w:kern w:val="0"/>
          <w:sz w:val="52"/>
          <w:szCs w:val="52"/>
        </w:rPr>
      </w:pPr>
    </w:p>
    <w:p w14:paraId="1D1F6D6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F080994">
      <w:pPr>
        <w:spacing w:line="540" w:lineRule="exact"/>
        <w:jc w:val="center"/>
        <w:rPr>
          <w:rFonts w:ascii="华文中宋" w:hAnsi="华文中宋" w:eastAsia="华文中宋" w:cs="宋体"/>
          <w:b/>
          <w:kern w:val="0"/>
          <w:sz w:val="52"/>
          <w:szCs w:val="52"/>
        </w:rPr>
      </w:pPr>
    </w:p>
    <w:p w14:paraId="0E59638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716654D">
      <w:pPr>
        <w:spacing w:line="540" w:lineRule="exact"/>
        <w:jc w:val="center"/>
        <w:rPr>
          <w:rFonts w:hAnsi="宋体" w:eastAsia="仿宋_GB2312" w:cs="宋体"/>
          <w:kern w:val="0"/>
          <w:sz w:val="30"/>
          <w:szCs w:val="30"/>
        </w:rPr>
      </w:pPr>
    </w:p>
    <w:p w14:paraId="19490123">
      <w:pPr>
        <w:spacing w:line="540" w:lineRule="exact"/>
        <w:jc w:val="center"/>
        <w:rPr>
          <w:rFonts w:hAnsi="宋体" w:eastAsia="仿宋_GB2312" w:cs="宋体"/>
          <w:kern w:val="0"/>
          <w:sz w:val="30"/>
          <w:szCs w:val="30"/>
        </w:rPr>
      </w:pPr>
    </w:p>
    <w:p w14:paraId="505477D9">
      <w:pPr>
        <w:spacing w:line="540" w:lineRule="exact"/>
        <w:jc w:val="center"/>
        <w:rPr>
          <w:rFonts w:hAnsi="宋体" w:eastAsia="仿宋_GB2312" w:cs="宋体"/>
          <w:kern w:val="0"/>
          <w:sz w:val="30"/>
          <w:szCs w:val="30"/>
        </w:rPr>
      </w:pPr>
    </w:p>
    <w:p w14:paraId="422EF9A3">
      <w:pPr>
        <w:spacing w:line="540" w:lineRule="exact"/>
        <w:jc w:val="center"/>
        <w:rPr>
          <w:rFonts w:hAnsi="宋体" w:eastAsia="仿宋_GB2312" w:cs="宋体"/>
          <w:kern w:val="0"/>
          <w:sz w:val="30"/>
          <w:szCs w:val="30"/>
        </w:rPr>
      </w:pPr>
    </w:p>
    <w:p w14:paraId="4C0602AC">
      <w:pPr>
        <w:tabs>
          <w:tab w:val="left" w:pos="4864"/>
        </w:tabs>
        <w:spacing w:line="540" w:lineRule="exact"/>
        <w:rPr>
          <w:rFonts w:hint="eastAsia" w:hAnsi="宋体" w:eastAsia="仿宋_GB2312" w:cs="宋体"/>
          <w:kern w:val="0"/>
          <w:sz w:val="30"/>
          <w:szCs w:val="30"/>
          <w:lang w:eastAsia="zh-CN"/>
        </w:rPr>
      </w:pPr>
    </w:p>
    <w:p w14:paraId="3E001D8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3FBBA8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机关业务经费</w:t>
      </w:r>
    </w:p>
    <w:p w14:paraId="635F73A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中共昌吉回族自治州直属机关工作委员会</w:t>
      </w:r>
    </w:p>
    <w:p w14:paraId="7ABED42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中共昌吉回族自治州直属机关工作委员会</w:t>
      </w:r>
    </w:p>
    <w:p w14:paraId="2DC0158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刘建军</w:t>
      </w:r>
    </w:p>
    <w:p w14:paraId="50A61A1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2025年05月08日</w:t>
      </w:r>
    </w:p>
    <w:p w14:paraId="272996ED">
      <w:pPr>
        <w:spacing w:line="700" w:lineRule="exact"/>
        <w:ind w:firstLine="708" w:firstLineChars="236"/>
        <w:jc w:val="left"/>
        <w:rPr>
          <w:rFonts w:hAnsi="宋体" w:eastAsia="仿宋_GB2312" w:cs="宋体"/>
          <w:kern w:val="0"/>
          <w:sz w:val="30"/>
          <w:szCs w:val="30"/>
        </w:rPr>
      </w:pPr>
    </w:p>
    <w:p w14:paraId="100D2825">
      <w:pPr>
        <w:spacing w:line="540" w:lineRule="exact"/>
        <w:rPr>
          <w:rStyle w:val="19"/>
          <w:rFonts w:ascii="黑体" w:hAnsi="黑体" w:eastAsia="黑体"/>
          <w:b w:val="0"/>
          <w:spacing w:val="-4"/>
          <w:sz w:val="32"/>
          <w:szCs w:val="32"/>
        </w:rPr>
      </w:pPr>
    </w:p>
    <w:p w14:paraId="4D10145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B92C9D5">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0673329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按照《中国共产党党和国家机关基层组织工作条例》的规定及中央、自治区、州党委的部署，负责州直机关党委和直属党（总）支部书记、副书记、委员的培训工作。负责做好发展党员工作，对入党积极分子和发展对象进行培训。负责对州直机关党员进行培训。监督检查州直各部门、各单位机关党组织切实履行职责、落实好党的工作的各项任务的情况。按照自治区党委和州党委的要求，指导机关各级党组织搞好思想、组织、作风、制度和反腐倡廉建设，做好党员管理教育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（1）项目名称：机关业务经费项目（以下简称“该项目”或“项目”）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本项目主要内容为通过组织全州直机关各级党员干部的培训以及入党积极分子的培训管理工作，推进各级党员干部的素质教育，提高各级党员干部的领导水平效率，提升党组织的执行力和广大党员满意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实施主体：昌吉州党委直属机关工委。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实施时间：本项目实施周期为2024年1月1日-2024年12月10日。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本项目于2024年1月开始实施，通过组织全州直机关各级党员干部的培训以及入党积极分子的培训管理工作，推进了各级党员干部的素质教育，提高了各级党员干部的领导水平效率，提升了党组织的执行力和广大党员满意度。截止2024年12月本项目已全部完成，通过本项目的实施，提升了党组织的执行力和广大党员满意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①按照《中国共产党党和国家机关基层组织工作条例》的规定及中央、自治区、州党委的部署，结合机关实际，对机关党的工作作出规划，对下级机关党的工作进行业务指导。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②审批州直机关党委、直属党总支部、党支部的建立；审批州支机关党组织领导班子成员的任免；负责州直党委和直属党（总）支部书记、副书记、委员的培训工作。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③监督检查州直各部门、各单位机关党组织切实履行职责、落实好党的工作的各项任务的情况。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④按照自治区党委和州党委的要求，指导机关各级党组织搞好思想、组织、作风、制度和反腐倡廉建设，做好党员管理教育工作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⑤指导州直机关党组织做好思想政治工作。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⑥指导州直机关党组织做好发展新党员工作；负责直属党总支部、支部发展党员工作；组织州直机关科级党员干部的培训以及入党积极分子的培训工作。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⑦按照有关规定，领导州直机关党组织的纪律检查工作，审核、审批职责范围的党员违反党纪的处分和有关党员的组织处理问题。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⑧定期听取汇报，对州直机关党组织工作状况进行届中、届满考核。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单位内设机构：行政办公室，组织人事科，宣传科，群团科，党员培训中心。实有在职人数18人，其中：行政在职11人、工勤1人、事业在职6人。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本项目预算安排总额为63万元，资金来源为财政拨款，其中：财政资金63万元，其他资金0万元，2024年实际收到预算资金63万元，预算资金到位率为100%。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截至2024年12月10日，本项目实际支付资金53.15万元，预算执行率84.37%，本项目资金主要用于支付培训费用31.58万元、办公费用21.57万元。</w:t>
      </w:r>
    </w:p>
    <w:p w14:paraId="4D09AB3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07B54CB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计划完成对直属党支部调研考察不少于2轮次，覆盖率大于95%，党员教育培训工作不少于6场次，出勤率大于95%，开展业务工作不少于10次，准确率大于95%，12个月完成调研考察党员教育培训，培训支出范围控制到31.58万元，运转经费控制范围21.57万元。提高党员干部能力素质，更好为群众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“调研考察次数”指标，预期指标值为“≥2次”；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“党员教育培训场次”指标，预期指标值为“≥6场次”；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“开展业务工作次数”指标，预期指标值为“≥10次”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“调研考察覆盖率”指标，预期指标值为“≥95%”；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“教育培训出勤率”指标，预期指标值为“≥95%”；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“开展业务工作准确率”指标，预期指标值为“≥95%”；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“调研考察党员教育培训按时完成率”指标，预期指标值为“≥95%”；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“调研考察培训完成时限”指标，预期指标值为“12月31之前”；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“党员教育培训完成率”指标，预期指标值为“≥95%”；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“教育培训支出控制范围”指标，预期指标值为“≤30万元”；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“运转经费控制范围”指标，预期指标值为“≤21万元”；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“提升社会稳定性”指标，预期指标值为“提高”；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“培训提高党员干部能力素质”指标，预期指标值为“长期”；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“党员教育培训人员满意度”指标，预期指标值为“≥95%”；</w:t>
      </w:r>
    </w:p>
    <w:p w14:paraId="38FAA21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0BDADAF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95A0F6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机关业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此次我单位根据《财政支出绩效评价管理暂行办法》（财预〔2020〕10号）文件要求实施评价工作，本次评价对象为机关业务经费项目，评价核心为项目资金、项目产出、项目效益。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5AAA8B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56D831B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AE572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FA6F96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王作昌任评价组组长：主要负责检查项目绩效指标完成情况、审定项目支出绩效评价结果及项目支出绩效评价报告。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曹文涛任评价小组组员：主要负责为组织和协调项目工作人员采取实地调查、资料检查等方式，核实项目绩效指标完成情况；组织受益对象对项目工作进行评价等。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何静任评价小组组员：主要负责做好项目支出绩效评价工作的沟通协调工作，对项目实施情况进行实地调查，编写项目支出绩效评价报告。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2025年3月15日-3月20日，评价小组按照绩效评价的原则和规范，对取得的资料进行审查核实，对采集的数据进行分析，按照绩效评价指标评分表逐项进行打分、分析、汇总各方评价结果。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2025年3月21日-3月28日，评价小组撰写绩效评价报告，按照新疆维吾尔自治区财政绩效管理信息系统绩效评价模块中统一格式和文本框架撰写绩效评价报告并提交审核。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B3B9DF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BD68AA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完成对直属党支部调研考察2轮次，覆盖率大于95%，党员教育培训工作6场次，出勤率大于95%，开展业务工作10次，准确率大于95%，12个月完成调研考察党员教育培训。通过项目的实施，提高了党员干部能力素质，更好为群众服务，发挥了社会效益。但在实施过程中也存在一些不足：如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此次绩效评价通过绩效评价小组论证的评价指标体系及评分标准，采用因素分析法和比较法对本项目绩效进行客观评价，最终评分结果：总分为100分，绩效评级为“优”。综合评价结论如下：本项目共设置三级指标数量25个，实现三级指标数量25个，总体完成率为100%。项目决策类指标共设置6个，满分指标6个，得分率100%；过程管理类指标共设置5个，满分指标5个，得分率100%；项目产出类指标共设置11个，满分指标11个，得分率100%；项目效益类指标共设置2个，满分指标2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 19 30 20 10 100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100.00% 100.00% 100.00% 100.00% 100.00%</w:t>
      </w:r>
    </w:p>
    <w:p w14:paraId="71765E1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59519DC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6E5C00E">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项目支出绩效评价管理办法》（财预〔2020〕10号）文件要求；本项目立项符合《三定方案》中：“党员干部培训”内容，符合行业发展规划和政策要求；本项目立项符合《州党委直属机关工委单位配置内设机构和人员编制规定》中职责范围中的“培训轮训自治州直属机关科级党员干部、党务干部及党员发展对象”，属于我单位履职根据《财政资金直接支付申请书》，本项目资金性质为“公共财政预算”功能分类为“一般行政管理事务”经济分类为“培训费”属于公共财政支持范围，符合中央、地方事权支出责任划分原则；经检查我单位财政应用平台指标，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本项目为非基础建设类项目，属于专项资金安排项目，不涉及事前绩效评估、可行性研究以及风险评估，由我单位严格按照《项目支出绩效评价管理办法》文件要求实施项目。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为加强州机关党的思想政治建设、组织建设、作风建设、制度建设和反腐倡廉建设，做好州机关其他党建工作，2024年计划完成对直属党支部调研考察不少于2轮次，覆盖率大于95%，党员教育培训工作不少于6场次，出勤率大于95%，开展业务工作不少于10次，准确率大于95%，12个月完成调研考察党员教育培训，培训支出范围控制到31.58万元，运转经费控制范围21.57万元。提高党员干部能力素质，更好为群众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完成了对直属党支部调研考察、党员教育培训工作、完成调研考察党员教育培训、开展指导业务工作，提高了党员干部能力素质，更好为群众服务，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2024年完成对直属党支部调研考察2轮次，覆盖率大于95%，党员教育培训工作6场次，出勤率大于95%，开展业务工作10次，准确率大于95%，12个月完成调研考察党员教育培训，培训支出31.58万元，运转经费支出21.57万元。提高党员干部能力素质，更好为群众服务提高党员干部能力素质，更好为群众服务，年度绩效目标完成，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④该项目批复的预算金额为53.15万元，《项目支出绩效目标表》中预算金额为53.15万元，预算确定的项目资金与预算确定的项目投资额相匹配。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14个，定量指标11个，定性指标3个，指标量化率为78.57%，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调研考察次数”“党员教育培训场次”“开展业务工作次数”，三级指标的年度指标值与年度绩效目标中任务数一致，已设置时效指标“项目完成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本项目预算编制通过上年完成情况编制，即预算编制较科学且经过论证；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预算申请内容为党员干部教育培训，项目实际内容为党员干部教育培训，预算申请与《机关业务经费项目实施方案》中涉及的项目内容匹配；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53.15万元，我单位在预算申请中严格按照项目实施内容及测算标准进行核算，其中：培训费用31.58万元、办公费用21.57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机关业务经费项目资金的请示》和《机关业务经费项目实施方案》为依据进行资金分配，预算资金分配依据充分。根据《财政预算资金下达文件》文件显示，本项目实际到位资金53.15万元，实际分配资金与我单位提交申请的资金额度一致，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6276B20E">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0577FC0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本项目预算资金为53.15万元，其中：财政安排资金53.15万元，其他资金0万元，实际到位资金53.15万元，资金到位率100%。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本项目实际支出资金53.15万元，预算执行率100%；项目已完成，总体完成率为100%；得分5分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州党委直属机关工委单位资金管理办法》《项目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州党委直属机关工委资金管理办法》《州党委直属机关工委收支业务管理制度》《州党委直属机关工委政府采购业务管理制度》《州党委直属机关工委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州党委直属机关工委资金管理办法》《州党委直属机关工委收支业务管理制度》《州党委直属机关工委政府采购业务管理制度》《州党委直属机关工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机关业务经费项目工作领导小组，由党组书记刘建军任组长，负责项目的组织工作；杨瑾任副组长，负责项目的实施工作；组员：韩爱娟，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71B4C53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9A00EC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项目产出类指标由4个二级指标和11个三级指标构成，权重分30.00分，实际得分30分。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“调研考察次数”指标，预期指标值为“≥2次”，根据工作总结和调研底稿可知，实际完成2次，与预期目标一致，指标完成率为100.0%。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“党员教育培训场次”指标，预期指标值为“≥6场次”，根据工作总结和培训名册可知，实际完成6次，与预期目标一致，指标完成率为100.0%。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“开展业务工作次数”指标，预期指标值为“≥10次”，根据工作总结可知，实际完成10次，与预期目标一致，指标完成率为100.0%。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“调研考察覆盖率”指标，预期指标值为“≥95%”，根据工作总结可知，实际95%，与预期目标一致，指标完成完成率为100.0%。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“教育培训出勤率”指标，预期指标值为“≥95%”，根据工作总结可知，实际完成100%，与预期目标一致，指标完成率为100.0%。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“开展业务工作准确率”指标，预期指标值为“≥95%”，根据工作总结可知，实际完成100%，与预期目标一致，指标完成率为100.0%。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“调研考察按时完成率”指标，预期指标值为“≥95%”，根据工作总结可知，实际完成95%，与预期目标一致，指标完成率为100.0%。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“调研考察完成时限”指标，预期指标值为“2024年11月30日前”；根据资金支付凭证可知，项目于2024年11月30日完成，实际完成100%，与预期目标一致，指标完成率为100.0%。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“党员教育培训完成率”指标，预期指标值为“≥95%”，根据工作总结可知，实际完成95%，与预期目标一致，指标完成率为100.0%。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教育培训支出控制范围”指标，预期指标值为“≤31.58万元”，根据资金支出情况可知，实际完成31.58万元，与预期目标一致，指标完成率为100.0%。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“运转经费控制范围”指标，预期指标值为“≤21.57万元”，根据资金支出情况可知，实际完成100%，与预期目标一致，指标完成率为100.0%。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D5BED7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23BDE24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项目效益类指标由1个二级指标和2个三级指标构成，权重分20.00分，实际得分20分。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“提升社会稳定性”指标，预期指标值为“提高”，根据测评表可知，实际完成值为“达到预期指标”，指标完成率为100.0%。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“培训提高党员干部能力素质”指标，预期指标为“长期”，实际完成值为“达到预期指标”，指标完成率为100.0%。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p>
    <w:p w14:paraId="3F4A847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“党员教育培训人员满意度”指标，预期指标值为“≥95%”，满意度达95%以上，指标完成率为100%。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本项目年初预算资金总额为63万元，全年预算数为53.15万元，全年执行数为53.15万元，预算执行率为100%。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本项目共设置三级指标数量14个，满分指标数量14个，扣分指标数量0个，经分析计算所有三级指标完成率得出，本项目总体完成率为100%。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w:t>
      </w:r>
    </w:p>
    <w:p w14:paraId="21B87391">
      <w:pPr>
        <w:spacing w:line="540" w:lineRule="exact"/>
        <w:ind w:firstLine="567"/>
        <w:rPr>
          <w:rStyle w:val="19"/>
          <w:rFonts w:hint="eastAsia" w:ascii="楷体" w:hAnsi="楷体" w:eastAsia="楷体"/>
          <w:b w:val="0"/>
          <w:bCs w:val="0"/>
          <w:spacing w:val="-4"/>
          <w:sz w:val="32"/>
          <w:szCs w:val="32"/>
        </w:rPr>
      </w:pPr>
    </w:p>
    <w:p w14:paraId="7EACD98D">
      <w:pPr>
        <w:spacing w:line="540" w:lineRule="exact"/>
        <w:ind w:firstLine="567"/>
        <w:rPr>
          <w:rStyle w:val="19"/>
          <w:rFonts w:ascii="楷体" w:hAnsi="楷体" w:eastAsia="楷体"/>
          <w:spacing w:val="-4"/>
          <w:sz w:val="32"/>
          <w:szCs w:val="32"/>
        </w:rPr>
      </w:pPr>
    </w:p>
    <w:p w14:paraId="13C8DDC9">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11E87682">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58450EF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26B9F41A">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 xml:space="preserve"> 1.加强培训，提高相关人员工作水平，采取多种培训形式对单位财务人员、业务科室人员进行集中培训，进一步树牢绩效观念，提高本单位工作人员的绩效管理能力和工作水平，为预算绩效管理相关工作的顺利开展提供保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 高度重视、加强领导、精心组织。项目绩效领导小组对绩效评价工作进行指导、监督、检查，确保项目绩效评价反映项目完成真实情况。严格执行项目绩效评价工作要求，切实提高项目绩效报告的客观性和公正性。</w:t>
      </w:r>
    </w:p>
    <w:p w14:paraId="5C60481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5950984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FF823B4">
      <w:pPr>
        <w:spacing w:line="540" w:lineRule="exact"/>
        <w:ind w:firstLine="567"/>
        <w:rPr>
          <w:rStyle w:val="19"/>
          <w:rFonts w:ascii="仿宋" w:hAnsi="仿宋" w:eastAsia="仿宋"/>
          <w:b w:val="0"/>
          <w:spacing w:val="-4"/>
          <w:sz w:val="32"/>
          <w:szCs w:val="32"/>
        </w:rPr>
      </w:pPr>
    </w:p>
    <w:p w14:paraId="0A3FE5EE">
      <w:pPr>
        <w:spacing w:line="540" w:lineRule="exact"/>
        <w:ind w:firstLine="567"/>
        <w:rPr>
          <w:rStyle w:val="19"/>
          <w:rFonts w:ascii="仿宋" w:hAnsi="仿宋" w:eastAsia="仿宋"/>
          <w:b w:val="0"/>
          <w:spacing w:val="-4"/>
          <w:sz w:val="32"/>
          <w:szCs w:val="32"/>
        </w:rPr>
      </w:pPr>
    </w:p>
    <w:p w14:paraId="2A08978F">
      <w:pPr>
        <w:spacing w:line="540" w:lineRule="exact"/>
        <w:ind w:firstLine="567"/>
        <w:rPr>
          <w:rStyle w:val="19"/>
          <w:rFonts w:ascii="仿宋" w:hAnsi="仿宋" w:eastAsia="仿宋"/>
          <w:b w:val="0"/>
          <w:spacing w:val="-4"/>
          <w:sz w:val="32"/>
          <w:szCs w:val="32"/>
        </w:rPr>
      </w:pPr>
    </w:p>
    <w:p w14:paraId="6E8AA88E">
      <w:pPr>
        <w:spacing w:line="540" w:lineRule="exact"/>
        <w:ind w:firstLine="567"/>
        <w:rPr>
          <w:rStyle w:val="19"/>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1CC2793">
        <w:pPr>
          <w:pStyle w:val="12"/>
          <w:jc w:val="center"/>
        </w:pPr>
        <w:r>
          <w:fldChar w:fldCharType="begin"/>
        </w:r>
        <w:r>
          <w:instrText xml:space="preserve">PAGE   \* MERGEFORMAT</w:instrText>
        </w:r>
        <w:r>
          <w:fldChar w:fldCharType="separate"/>
        </w:r>
        <w:r>
          <w:rPr>
            <w:lang w:val="zh-CN"/>
          </w:rPr>
          <w:t>2</w:t>
        </w:r>
        <w:r>
          <w:fldChar w:fldCharType="end"/>
        </w:r>
      </w:p>
    </w:sdtContent>
  </w:sdt>
  <w:p w14:paraId="64B9912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584842C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5aebccff-1a61-4f2c-8c90-f3f7a1afe5b2}">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13274</Words>
  <Characters>13989</Characters>
  <Lines>4</Lines>
  <Paragraphs>1</Paragraphs>
  <TotalTime>7</TotalTime>
  <ScaleCrop>false</ScaleCrop>
  <LinksUpToDate>false</LinksUpToDate>
  <CharactersWithSpaces>14037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2025-10-15T02:44:24Z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