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中国共产主义青年团昌吉回族自治州委员会2024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bookmarkStart w:id="0" w:name="_GoBack"/>
      <w:bookmarkEnd w:id="0"/>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r>
        <w:br w:type="page"/>
      </w:r>
    </w:p>
    <w:p>
      <w:pPr>
        <w:spacing w:line="640" w:lineRule="exact"/>
        <w:jc w:val="center"/>
        <w:outlineLvl w:val="1"/>
      </w:pPr>
      <w:r>
        <w:rPr>
          <w:rFonts w:ascii="黑体" w:hAnsi="黑体" w:eastAsia="黑体"/>
          <w:sz w:val="32"/>
        </w:rPr>
        <w:t>第一部分 单位概况</w:t>
      </w:r>
    </w:p>
    <w:p>
      <w:pPr>
        <w:spacing w:line="640" w:lineRule="exact"/>
        <w:ind w:firstLine="640"/>
        <w:jc w:val="both"/>
        <w:outlineLvl w:val="2"/>
      </w:pPr>
      <w:r>
        <w:rPr>
          <w:rFonts w:ascii="黑体" w:hAnsi="黑体" w:eastAsia="黑体"/>
          <w:sz w:val="32"/>
        </w:rPr>
        <w:t>一、主要职能</w:t>
      </w:r>
    </w:p>
    <w:p>
      <w:pPr>
        <w:spacing w:line="580" w:lineRule="exact"/>
        <w:ind w:firstLine="640"/>
        <w:jc w:val="both"/>
      </w:pPr>
      <w:r>
        <w:rPr>
          <w:rFonts w:ascii="仿宋_GB2312" w:hAnsi="仿宋_GB2312" w:eastAsia="仿宋_GB2312"/>
          <w:sz w:val="32"/>
        </w:rPr>
        <w:t>中国共产主义青年团是中国共产党领导的先进青年的群团组织。自治州团委在自治州党委和区团委的领导下进行工作，其主要工作职责是。</w:t>
      </w:r>
    </w:p>
    <w:p>
      <w:pPr>
        <w:spacing w:line="580" w:lineRule="exact"/>
        <w:ind w:firstLine="640"/>
        <w:jc w:val="both"/>
      </w:pPr>
      <w:r>
        <w:rPr>
          <w:rFonts w:ascii="仿宋_GB2312" w:hAnsi="仿宋_GB2312" w:eastAsia="仿宋_GB2312"/>
          <w:sz w:val="32"/>
        </w:rPr>
        <w:t>1、领导全州共青团的工作；领导州青学联和少先队工作；指导和管理全州性青少年社会团体工作。</w:t>
      </w:r>
    </w:p>
    <w:p>
      <w:pPr>
        <w:spacing w:line="580" w:lineRule="exact"/>
        <w:ind w:firstLine="640"/>
        <w:jc w:val="both"/>
      </w:pPr>
      <w:r>
        <w:rPr>
          <w:rFonts w:ascii="仿宋_GB2312" w:hAnsi="仿宋_GB2312" w:eastAsia="仿宋_GB2312"/>
          <w:sz w:val="32"/>
        </w:rPr>
        <w:t>2、参与全州青少年法规制度的宣传、实施等工作，负责自治州未成年人保护工作；协助党委、政府处理、协调与青少年利益相关的事务。</w:t>
      </w:r>
    </w:p>
    <w:p>
      <w:pPr>
        <w:spacing w:line="580" w:lineRule="exact"/>
        <w:ind w:firstLine="640"/>
        <w:jc w:val="both"/>
      </w:pPr>
      <w:r>
        <w:rPr>
          <w:rFonts w:ascii="仿宋_GB2312" w:hAnsi="仿宋_GB2312" w:eastAsia="仿宋_GB2312"/>
          <w:sz w:val="32"/>
        </w:rPr>
        <w:t>3、组织全州团员青年在经济建设中发挥生力军和突击队的作用、协助教育部门做好大、中、小学生的教育管理工作，维护学校稳定和社会安定团结；完成自治州党委、政府和区团委部署的以青少年为主体的各项任务。</w:t>
      </w:r>
    </w:p>
    <w:p>
      <w:pPr>
        <w:spacing w:line="580" w:lineRule="exact"/>
        <w:ind w:firstLine="640"/>
        <w:jc w:val="both"/>
      </w:pPr>
      <w:r>
        <w:rPr>
          <w:rFonts w:ascii="仿宋_GB2312" w:hAnsi="仿宋_GB2312" w:eastAsia="仿宋_GB2312"/>
          <w:sz w:val="32"/>
        </w:rPr>
        <w:t>4、调查青少年思想动态和工作状况，研究青年运动青少年工作理论和思想教育问题，提出相应的对策，开展各种活动。</w:t>
      </w:r>
    </w:p>
    <w:p>
      <w:pPr>
        <w:spacing w:line="580" w:lineRule="exact"/>
        <w:ind w:firstLine="640"/>
        <w:jc w:val="both"/>
      </w:pPr>
      <w:r>
        <w:rPr>
          <w:rFonts w:ascii="仿宋_GB2312" w:hAnsi="仿宋_GB2312" w:eastAsia="仿宋_GB2312"/>
          <w:sz w:val="32"/>
        </w:rPr>
        <w:t>5、指导全州团的组织建设，协助党组织管理、选拔和培训团的干部。</w:t>
      </w:r>
    </w:p>
    <w:p>
      <w:pPr>
        <w:spacing w:line="580" w:lineRule="exact"/>
        <w:ind w:firstLine="640"/>
        <w:jc w:val="both"/>
      </w:pPr>
      <w:r>
        <w:rPr>
          <w:rFonts w:ascii="仿宋_GB2312" w:hAnsi="仿宋_GB2312" w:eastAsia="仿宋_GB2312"/>
          <w:sz w:val="32"/>
        </w:rPr>
        <w:t>6、指导全州青少年的思想教育和宣传文化活动以及青少年活动阵地建设、培养、选拔、表彰并推荐优秀青年。</w:t>
      </w:r>
    </w:p>
    <w:p>
      <w:pPr>
        <w:spacing w:line="580" w:lineRule="exact"/>
        <w:ind w:firstLine="640"/>
        <w:jc w:val="both"/>
      </w:pPr>
      <w:r>
        <w:rPr>
          <w:rFonts w:ascii="仿宋_GB2312" w:hAnsi="仿宋_GB2312" w:eastAsia="仿宋_GB2312"/>
          <w:sz w:val="32"/>
        </w:rPr>
        <w:t>7、负责全州青年统战工作；做好与区外青少年的友好交流合作。</w:t>
      </w:r>
    </w:p>
    <w:p>
      <w:pPr>
        <w:spacing w:line="580" w:lineRule="exact"/>
        <w:ind w:firstLine="640"/>
        <w:jc w:val="both"/>
      </w:pPr>
      <w:r>
        <w:rPr>
          <w:rFonts w:ascii="仿宋_GB2312" w:hAnsi="仿宋_GB2312" w:eastAsia="仿宋_GB2312"/>
          <w:sz w:val="32"/>
        </w:rPr>
        <w:t>8、组织实施全州“希望工程”的有关工作。</w:t>
      </w:r>
    </w:p>
    <w:p>
      <w:pPr>
        <w:spacing w:line="580" w:lineRule="exact"/>
        <w:ind w:firstLine="640"/>
        <w:jc w:val="both"/>
      </w:pPr>
      <w:r>
        <w:rPr>
          <w:rFonts w:ascii="仿宋_GB2312" w:hAnsi="仿宋_GB2312" w:eastAsia="仿宋_GB2312"/>
          <w:sz w:val="32"/>
        </w:rPr>
        <w:t>9、指导州、县（市）青少年活动中心建设与管理。</w:t>
      </w:r>
    </w:p>
    <w:p>
      <w:pPr>
        <w:spacing w:line="580" w:lineRule="exact"/>
        <w:ind w:firstLine="640"/>
        <w:jc w:val="both"/>
      </w:pPr>
      <w:r>
        <w:rPr>
          <w:rFonts w:ascii="仿宋_GB2312" w:hAnsi="仿宋_GB2312" w:eastAsia="仿宋_GB2312"/>
          <w:sz w:val="32"/>
        </w:rPr>
        <w:t>10、承办州党委、政府交办的各项工作。</w:t>
      </w:r>
    </w:p>
    <w:p>
      <w:pPr>
        <w:spacing w:line="640" w:lineRule="exact"/>
        <w:ind w:firstLine="640"/>
        <w:jc w:val="both"/>
        <w:outlineLvl w:val="2"/>
      </w:pPr>
      <w:r>
        <w:rPr>
          <w:rFonts w:ascii="黑体" w:hAnsi="黑体" w:eastAsia="黑体"/>
          <w:sz w:val="32"/>
        </w:rPr>
        <w:t>二、机构设置及人员情况</w:t>
      </w:r>
    </w:p>
    <w:p>
      <w:pPr>
        <w:spacing w:line="580" w:lineRule="exact"/>
        <w:ind w:firstLine="640"/>
        <w:jc w:val="both"/>
      </w:pPr>
      <w:r>
        <w:rPr>
          <w:rFonts w:ascii="仿宋_GB2312" w:hAnsi="仿宋_GB2312" w:eastAsia="仿宋_GB2312"/>
          <w:sz w:val="32"/>
        </w:rPr>
        <w:t>中国共产主义青年团昌吉回族自治州委员会2024年度，实有人数12人，其中：在职人员10人，增加1人；离休人员0人，增加0人；退休人员2人,增加0人。</w:t>
      </w:r>
    </w:p>
    <w:p>
      <w:pPr>
        <w:spacing w:line="580" w:lineRule="exact"/>
        <w:ind w:firstLine="640"/>
        <w:jc w:val="both"/>
      </w:pPr>
      <w:r>
        <w:rPr>
          <w:rFonts w:ascii="仿宋_GB2312" w:hAnsi="仿宋_GB2312" w:eastAsia="仿宋_GB2312"/>
          <w:sz w:val="32"/>
        </w:rPr>
        <w:t>中国共产主义青年团昌吉回族自治州委员会无下属预算单位，下设3个科室，分别是：办公室、青联秘书处、少工委办公室。</w:t>
      </w:r>
    </w:p>
    <w:p>
      <w:r>
        <w:br w:type="page"/>
      </w:r>
    </w:p>
    <w:p>
      <w:pPr>
        <w:spacing w:line="240" w:lineRule="auto"/>
        <w:jc w:val="center"/>
        <w:outlineLvl w:val="1"/>
      </w:pPr>
      <w:r>
        <w:rPr>
          <w:rFonts w:ascii="黑体" w:hAnsi="黑体" w:eastAsia="黑体"/>
          <w:sz w:val="32"/>
        </w:rPr>
        <w:t>第二部分 部门决算情况说明</w:t>
      </w:r>
    </w:p>
    <w:p>
      <w:pPr>
        <w:spacing w:line="640" w:lineRule="exact"/>
        <w:ind w:firstLine="640"/>
        <w:jc w:val="both"/>
        <w:outlineLvl w:val="2"/>
      </w:pPr>
      <w:r>
        <w:rPr>
          <w:rFonts w:ascii="黑体" w:hAnsi="黑体" w:eastAsia="黑体"/>
          <w:sz w:val="32"/>
        </w:rPr>
        <w:t>一、收入支出决算总体情况说明</w:t>
      </w:r>
    </w:p>
    <w:p>
      <w:pPr>
        <w:spacing w:line="580" w:lineRule="exact"/>
        <w:ind w:firstLine="640"/>
        <w:jc w:val="both"/>
      </w:pPr>
      <w:r>
        <w:rPr>
          <w:rFonts w:ascii="仿宋_GB2312" w:hAnsi="仿宋_GB2312" w:eastAsia="仿宋_GB2312"/>
          <w:b/>
          <w:sz w:val="32"/>
        </w:rPr>
        <w:t>2024年度收入总计502.09万元，</w:t>
      </w:r>
      <w:r>
        <w:rPr>
          <w:rFonts w:ascii="仿宋_GB2312" w:hAnsi="仿宋_GB2312" w:eastAsia="仿宋_GB2312"/>
          <w:b w:val="0"/>
          <w:sz w:val="32"/>
        </w:rPr>
        <w:t>其中：本年收入合计358.25万元，使用非财政拨款结余（含专用结余）0.00万元，年初结转和结余143.84万元。</w:t>
      </w:r>
    </w:p>
    <w:p>
      <w:pPr>
        <w:spacing w:line="580" w:lineRule="exact"/>
        <w:ind w:firstLine="640"/>
        <w:jc w:val="both"/>
      </w:pPr>
      <w:r>
        <w:rPr>
          <w:rFonts w:ascii="仿宋_GB2312" w:hAnsi="仿宋_GB2312" w:eastAsia="仿宋_GB2312"/>
          <w:b/>
          <w:sz w:val="32"/>
        </w:rPr>
        <w:t>2024年度支出总计502.09万元，</w:t>
      </w:r>
      <w:r>
        <w:rPr>
          <w:rFonts w:ascii="仿宋_GB2312" w:hAnsi="仿宋_GB2312" w:eastAsia="仿宋_GB2312"/>
          <w:b w:val="0"/>
          <w:sz w:val="32"/>
        </w:rPr>
        <w:t>其中：本年支出合计373.49万元，结余分配0.00万元，年末结转和结余128.61万元。</w:t>
      </w:r>
    </w:p>
    <w:p>
      <w:pPr>
        <w:spacing w:line="580" w:lineRule="exact"/>
        <w:ind w:firstLine="640"/>
        <w:jc w:val="both"/>
      </w:pPr>
      <w:r>
        <w:rPr>
          <w:rFonts w:ascii="仿宋_GB2312" w:hAnsi="仿宋_GB2312" w:eastAsia="仿宋_GB2312"/>
          <w:b w:val="0"/>
          <w:sz w:val="32"/>
        </w:rPr>
        <w:t>收入支出总体与上年相比，</w:t>
      </w:r>
      <w:r>
        <w:rPr>
          <w:rFonts w:ascii="仿宋_GB2312" w:hAnsi="仿宋_GB2312" w:eastAsia="仿宋_GB2312"/>
          <w:b w:val="0"/>
          <w:sz w:val="32"/>
        </w:rPr>
        <w:t>增加19.83万元，增长4.11%，主要原因是：本年增加  "十百千万"青少年民族团结融情工程经费、829少先队员昌吉州第七次代表大会会议经费等项目。</w:t>
      </w:r>
    </w:p>
    <w:p>
      <w:pPr>
        <w:spacing w:line="640" w:lineRule="exact"/>
        <w:ind w:firstLine="640"/>
        <w:jc w:val="both"/>
        <w:outlineLvl w:val="2"/>
      </w:pPr>
      <w:r>
        <w:rPr>
          <w:rFonts w:ascii="黑体" w:hAnsi="黑体" w:eastAsia="黑体"/>
          <w:sz w:val="32"/>
        </w:rPr>
        <w:t>二、收入决算情况说明</w:t>
      </w:r>
    </w:p>
    <w:p>
      <w:pPr>
        <w:spacing w:line="580" w:lineRule="exact"/>
        <w:ind w:firstLine="640"/>
        <w:jc w:val="both"/>
      </w:pPr>
      <w:r>
        <w:rPr>
          <w:rFonts w:ascii="仿宋_GB2312" w:hAnsi="仿宋_GB2312" w:eastAsia="仿宋_GB2312"/>
          <w:b/>
          <w:sz w:val="32"/>
        </w:rPr>
        <w:t>本年收入358.25万元，</w:t>
      </w:r>
      <w:r>
        <w:rPr>
          <w:rFonts w:ascii="仿宋_GB2312" w:hAnsi="仿宋_GB2312" w:eastAsia="仿宋_GB2312"/>
          <w:b w:val="0"/>
          <w:sz w:val="32"/>
        </w:rPr>
        <w:t>其中：财政拨款收入350.94万元，占97.96%；上级补助收入0.00万元，占0.00%；事业收入0.00万元，占0.00%；经营收入0.00万元，占0.00%；附属单位上缴收入0.00万元，占0.00%；其他收入7.31万元，占2.04%。</w:t>
      </w:r>
    </w:p>
    <w:p>
      <w:pPr>
        <w:spacing w:line="640" w:lineRule="exact"/>
        <w:ind w:firstLine="640"/>
        <w:jc w:val="both"/>
        <w:outlineLvl w:val="2"/>
      </w:pPr>
      <w:r>
        <w:rPr>
          <w:rFonts w:ascii="黑体" w:hAnsi="黑体" w:eastAsia="黑体"/>
          <w:sz w:val="32"/>
        </w:rPr>
        <w:t>三、支出决算情况说明</w:t>
      </w:r>
    </w:p>
    <w:p>
      <w:pPr>
        <w:spacing w:line="580" w:lineRule="exact"/>
        <w:ind w:firstLine="640"/>
        <w:jc w:val="both"/>
      </w:pPr>
      <w:r>
        <w:rPr>
          <w:rFonts w:ascii="仿宋_GB2312" w:hAnsi="仿宋_GB2312" w:eastAsia="仿宋_GB2312"/>
          <w:b/>
          <w:sz w:val="32"/>
        </w:rPr>
        <w:t>本年支出373.49万元，</w:t>
      </w:r>
      <w:r>
        <w:rPr>
          <w:rFonts w:ascii="仿宋_GB2312" w:hAnsi="仿宋_GB2312" w:eastAsia="仿宋_GB2312"/>
          <w:b w:val="0"/>
          <w:sz w:val="32"/>
        </w:rPr>
        <w:t>其中：基本支出228.11万元，占61.08%；项目支出145.38万元，占38.92%；上缴上级支出0.00万元，占0.00%；经营支出0.00万元，占0.00%；对附属单位补助支出0.00万元，占0.00%。</w:t>
      </w:r>
    </w:p>
    <w:p>
      <w:pPr>
        <w:spacing w:line="640" w:lineRule="exact"/>
        <w:ind w:firstLine="640"/>
        <w:jc w:val="both"/>
        <w:outlineLvl w:val="2"/>
      </w:pPr>
      <w:r>
        <w:rPr>
          <w:rFonts w:ascii="黑体" w:hAnsi="黑体" w:eastAsia="黑体"/>
          <w:sz w:val="32"/>
        </w:rPr>
        <w:t>四、财政拨款收入支出决算总体情况说明</w:t>
      </w:r>
    </w:p>
    <w:p>
      <w:pPr>
        <w:spacing w:line="580" w:lineRule="exact"/>
        <w:ind w:firstLine="640"/>
        <w:jc w:val="both"/>
      </w:pPr>
      <w:r>
        <w:rPr>
          <w:rFonts w:ascii="仿宋_GB2312" w:hAnsi="仿宋_GB2312" w:eastAsia="仿宋_GB2312"/>
          <w:b/>
          <w:sz w:val="32"/>
        </w:rPr>
        <w:t>2024年度财政拨款收入总计350.94万元，</w:t>
      </w:r>
      <w:r>
        <w:rPr>
          <w:rFonts w:ascii="仿宋_GB2312" w:hAnsi="仿宋_GB2312" w:eastAsia="仿宋_GB2312"/>
          <w:b w:val="0"/>
          <w:sz w:val="32"/>
        </w:rPr>
        <w:t>其中：年初财政拨款结转和结余0.00万元，本年财政拨款收入350.94万元。</w:t>
      </w:r>
      <w:r>
        <w:rPr>
          <w:rFonts w:ascii="仿宋_GB2312" w:hAnsi="仿宋_GB2312" w:eastAsia="仿宋_GB2312"/>
          <w:b/>
          <w:sz w:val="32"/>
        </w:rPr>
        <w:t>财政拨款支出总计350.94万元，</w:t>
      </w:r>
      <w:r>
        <w:rPr>
          <w:rFonts w:ascii="仿宋_GB2312" w:hAnsi="仿宋_GB2312" w:eastAsia="仿宋_GB2312"/>
          <w:b w:val="0"/>
          <w:sz w:val="32"/>
        </w:rPr>
        <w:t>其中：年末财政拨款结转和结余0.00万元，本年财政拨款支出350.94万元。</w:t>
      </w:r>
    </w:p>
    <w:p>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增加100.06万元，增长39.88%，主要原因是：本年增加  "十百千万"青少年民族团结融情工程经费、829少先队员昌吉州第七次代表大会会议经费等项目。</w:t>
      </w:r>
      <w:r>
        <w:rPr>
          <w:rFonts w:ascii="仿宋_GB2312" w:hAnsi="仿宋_GB2312" w:eastAsia="仿宋_GB2312"/>
          <w:b/>
          <w:sz w:val="32"/>
        </w:rPr>
        <w:t>与年初预算相比，</w:t>
      </w:r>
      <w:r>
        <w:rPr>
          <w:rFonts w:ascii="仿宋_GB2312" w:hAnsi="仿宋_GB2312" w:eastAsia="仿宋_GB2312"/>
          <w:b w:val="0"/>
          <w:sz w:val="32"/>
        </w:rPr>
        <w:t>年初预算数221.53万元，决算数350.94万元，预决算差异率58.42%，主要原因是：年中追加829少先队员昌吉州第七次代表大会会议经费，年中追加人员工资、社保、公积金基数调增部分资金，导致预决算存在差异。</w:t>
      </w:r>
    </w:p>
    <w:p>
      <w:pPr>
        <w:spacing w:line="640" w:lineRule="exact"/>
        <w:ind w:firstLine="640"/>
        <w:jc w:val="both"/>
        <w:outlineLvl w:val="2"/>
      </w:pPr>
      <w:r>
        <w:rPr>
          <w:rFonts w:ascii="黑体" w:hAnsi="黑体" w:eastAsia="黑体"/>
          <w:sz w:val="32"/>
        </w:rPr>
        <w:t>五、一般公共预算财政拨款支出决算情况说明</w:t>
      </w:r>
    </w:p>
    <w:p>
      <w:pPr>
        <w:spacing w:line="640" w:lineRule="exact"/>
        <w:ind w:firstLine="640"/>
        <w:jc w:val="both"/>
        <w:outlineLvl w:val="3"/>
      </w:pPr>
      <w:r>
        <w:rPr>
          <w:rFonts w:ascii="楷体_GB2312" w:hAnsi="楷体_GB2312" w:eastAsia="楷体_GB2312"/>
          <w:b/>
          <w:sz w:val="32"/>
        </w:rPr>
        <w:t>（一）一般公共预算财政拨款支出决算总体情况</w:t>
      </w:r>
    </w:p>
    <w:p>
      <w:pPr>
        <w:spacing w:line="580" w:lineRule="exact"/>
        <w:ind w:firstLine="640"/>
        <w:jc w:val="both"/>
      </w:pPr>
      <w:r>
        <w:rPr>
          <w:rFonts w:ascii="仿宋_GB2312" w:hAnsi="仿宋_GB2312" w:eastAsia="仿宋_GB2312"/>
          <w:b/>
          <w:sz w:val="32"/>
        </w:rPr>
        <w:t>2024年度一般公共预算财政拨款支出350.94万元，</w:t>
      </w:r>
      <w:r>
        <w:rPr>
          <w:rFonts w:ascii="仿宋_GB2312" w:hAnsi="仿宋_GB2312" w:eastAsia="仿宋_GB2312"/>
          <w:b w:val="0"/>
          <w:sz w:val="32"/>
        </w:rPr>
        <w:t>占本年支出合计的93.96%。</w:t>
      </w:r>
      <w:r>
        <w:rPr>
          <w:rFonts w:ascii="仿宋_GB2312" w:hAnsi="仿宋_GB2312" w:eastAsia="仿宋_GB2312"/>
          <w:b/>
          <w:sz w:val="32"/>
        </w:rPr>
        <w:t>与上年相比，</w:t>
      </w:r>
      <w:r>
        <w:rPr>
          <w:rFonts w:ascii="仿宋_GB2312" w:hAnsi="仿宋_GB2312" w:eastAsia="仿宋_GB2312"/>
          <w:b w:val="0"/>
          <w:sz w:val="32"/>
        </w:rPr>
        <w:t>增加100.06万元，增长39.88%，主要原因是：本年增加  "十百千万"青少年民族团结融情工程经费、829少先队员昌吉州第七次代表大会会议经费等项目。</w:t>
      </w:r>
      <w:r>
        <w:rPr>
          <w:rFonts w:ascii="仿宋_GB2312" w:hAnsi="仿宋_GB2312" w:eastAsia="仿宋_GB2312"/>
          <w:b/>
          <w:sz w:val="32"/>
        </w:rPr>
        <w:t>与年初预算相比,</w:t>
      </w:r>
      <w:r>
        <w:rPr>
          <w:rFonts w:ascii="仿宋_GB2312" w:hAnsi="仿宋_GB2312" w:eastAsia="仿宋_GB2312"/>
          <w:b w:val="0"/>
          <w:sz w:val="32"/>
        </w:rPr>
        <w:t>年初预算数221.53万元，决算数350.94万元，预决算差异率58.42%，主要原因是：年中追加829少先队员昌吉州第七次代表大会会议经费，年中追加人员工资、社保、公积金基数调增部分资金，导致预决算存在差异。</w:t>
      </w:r>
    </w:p>
    <w:p>
      <w:pPr>
        <w:spacing w:line="640" w:lineRule="exact"/>
        <w:ind w:firstLine="640"/>
        <w:jc w:val="both"/>
        <w:outlineLvl w:val="3"/>
      </w:pPr>
      <w:r>
        <w:rPr>
          <w:rFonts w:ascii="楷体_GB2312" w:hAnsi="楷体_GB2312" w:eastAsia="楷体_GB2312"/>
          <w:b/>
          <w:sz w:val="32"/>
        </w:rPr>
        <w:t>（二）一般公共预算财政拨款支出决算结构情况</w:t>
      </w:r>
    </w:p>
    <w:p>
      <w:pPr>
        <w:spacing w:line="580" w:lineRule="exact"/>
        <w:ind w:firstLine="640"/>
        <w:jc w:val="both"/>
      </w:pPr>
      <w:r>
        <w:rPr>
          <w:rFonts w:ascii="仿宋_GB2312" w:hAnsi="仿宋_GB2312" w:eastAsia="仿宋_GB2312"/>
          <w:b w:val="0"/>
          <w:sz w:val="32"/>
        </w:rPr>
        <w:t>1.一般公共服务支出(类)286.41万元,占81.61%。</w:t>
      </w:r>
    </w:p>
    <w:p>
      <w:pPr>
        <w:spacing w:line="580" w:lineRule="exact"/>
        <w:ind w:firstLine="640"/>
        <w:jc w:val="both"/>
      </w:pPr>
      <w:r>
        <w:rPr>
          <w:rFonts w:ascii="仿宋_GB2312" w:hAnsi="仿宋_GB2312" w:eastAsia="仿宋_GB2312"/>
          <w:b w:val="0"/>
          <w:sz w:val="32"/>
        </w:rPr>
        <w:t>2.社会保障和就业支出(类)30.05万元,占8.56%。</w:t>
      </w:r>
    </w:p>
    <w:p>
      <w:pPr>
        <w:spacing w:line="580" w:lineRule="exact"/>
        <w:ind w:firstLine="640"/>
        <w:jc w:val="both"/>
      </w:pPr>
      <w:r>
        <w:rPr>
          <w:rFonts w:ascii="仿宋_GB2312" w:hAnsi="仿宋_GB2312" w:eastAsia="仿宋_GB2312"/>
          <w:b w:val="0"/>
          <w:sz w:val="32"/>
        </w:rPr>
        <w:t>3.卫生健康支出(类)10.33万元,占2.94%。</w:t>
      </w:r>
    </w:p>
    <w:p>
      <w:pPr>
        <w:spacing w:line="580" w:lineRule="exact"/>
        <w:ind w:firstLine="640"/>
        <w:jc w:val="both"/>
      </w:pPr>
      <w:r>
        <w:rPr>
          <w:rFonts w:ascii="仿宋_GB2312" w:hAnsi="仿宋_GB2312" w:eastAsia="仿宋_GB2312"/>
          <w:b w:val="0"/>
          <w:sz w:val="32"/>
        </w:rPr>
        <w:t>4.住房保障支出(类)15.52万元,占4.42%。</w:t>
      </w:r>
    </w:p>
    <w:p>
      <w:pPr>
        <w:spacing w:line="580" w:lineRule="exact"/>
        <w:ind w:firstLine="640"/>
        <w:jc w:val="both"/>
      </w:pPr>
      <w:r>
        <w:rPr>
          <w:rFonts w:ascii="仿宋_GB2312" w:hAnsi="仿宋_GB2312" w:eastAsia="仿宋_GB2312"/>
          <w:b w:val="0"/>
          <w:sz w:val="32"/>
        </w:rPr>
        <w:t>5.其他支出(类)8.63万元,占2.46%。</w:t>
      </w:r>
    </w:p>
    <w:p>
      <w:pPr>
        <w:spacing w:line="640" w:lineRule="exact"/>
        <w:ind w:firstLine="640"/>
        <w:jc w:val="both"/>
        <w:outlineLvl w:val="3"/>
      </w:pPr>
      <w:r>
        <w:rPr>
          <w:rFonts w:ascii="楷体_GB2312" w:hAnsi="楷体_GB2312" w:eastAsia="楷体_GB2312"/>
          <w:b/>
          <w:sz w:val="32"/>
        </w:rPr>
        <w:t>（三）一般公共预算财政拨款支出决算具体情况</w:t>
      </w:r>
    </w:p>
    <w:p>
      <w:pPr>
        <w:spacing w:line="580" w:lineRule="exact"/>
        <w:ind w:firstLine="640"/>
        <w:jc w:val="both"/>
      </w:pPr>
      <w:r>
        <w:rPr>
          <w:rFonts w:ascii="仿宋_GB2312" w:hAnsi="仿宋_GB2312" w:eastAsia="仿宋_GB2312"/>
          <w:b w:val="0"/>
          <w:sz w:val="32"/>
        </w:rPr>
        <w:t>1.一般公共服务支出(类)群众团体事务(款)行政运行(项):支出决算数为120.76万元，比上年决算增加6.48万元，增长5.67%,主要原因是：本年在职人员工资调增，导致相关人员经费较上年有所增加。</w:t>
      </w:r>
    </w:p>
    <w:p>
      <w:pPr>
        <w:spacing w:line="580" w:lineRule="exact"/>
        <w:ind w:firstLine="640"/>
        <w:jc w:val="both"/>
      </w:pPr>
      <w:r>
        <w:rPr>
          <w:rFonts w:ascii="仿宋_GB2312" w:hAnsi="仿宋_GB2312" w:eastAsia="仿宋_GB2312"/>
          <w:b w:val="0"/>
          <w:sz w:val="32"/>
        </w:rPr>
        <w:t>2.一般公共服务支出(类)群众团体事务(款)一般行政管理事务(项):支出决算数为125.15万元，比上年决算增加67.94万元，增长118.76%,主要原因是：本年增加  "十百千万"青少年民族团结融情工程经费、829少先队员昌吉州第七次代表大会会议经费等项目。</w:t>
      </w:r>
    </w:p>
    <w:p>
      <w:pPr>
        <w:spacing w:line="580" w:lineRule="exact"/>
        <w:ind w:firstLine="640"/>
        <w:jc w:val="both"/>
      </w:pPr>
      <w:r>
        <w:rPr>
          <w:rFonts w:ascii="仿宋_GB2312" w:hAnsi="仿宋_GB2312" w:eastAsia="仿宋_GB2312"/>
          <w:b w:val="0"/>
          <w:sz w:val="32"/>
        </w:rPr>
        <w:t>3.一般公共服务支出(类)群众团体事务(款)事业运行(项):支出决算数为40.50万元，比上年决算增加8.07万元，增长24.88%,主要原因是：本年在职人员工资调增，导致相关人员经费较上年有所增加。</w:t>
      </w:r>
    </w:p>
    <w:p>
      <w:pPr>
        <w:spacing w:line="580" w:lineRule="exact"/>
        <w:ind w:firstLine="640"/>
        <w:jc w:val="both"/>
      </w:pPr>
      <w:r>
        <w:rPr>
          <w:rFonts w:ascii="仿宋_GB2312" w:hAnsi="仿宋_GB2312" w:eastAsia="仿宋_GB2312"/>
          <w:b w:val="0"/>
          <w:sz w:val="32"/>
        </w:rPr>
        <w:t>4.一般公共服务支出(类)统战事务(款)宗教事务(项):支出决算数为0.00万元，比上年决算减少1.21万元，下降100.00%,主要原因是：本年功能科目调整，为民办实事经费上年在宗教事务科目列支，本年在其他支出科目列支，导致经费减少。</w:t>
      </w:r>
    </w:p>
    <w:p>
      <w:pPr>
        <w:spacing w:line="580" w:lineRule="exact"/>
        <w:ind w:firstLine="640"/>
        <w:jc w:val="both"/>
      </w:pPr>
      <w:r>
        <w:rPr>
          <w:rFonts w:ascii="仿宋_GB2312" w:hAnsi="仿宋_GB2312" w:eastAsia="仿宋_GB2312"/>
          <w:b w:val="0"/>
          <w:sz w:val="32"/>
        </w:rPr>
        <w:t>5.社会保障和就业支出(类)行政事业单位养老支出(款)行政单位离退休(项):支出决算数为1.23万元，比上年决算增加0.42万元，增长51.85%,主要原因是：本年增加退休人员基础绩效奖，退休费支出增加。</w:t>
      </w:r>
    </w:p>
    <w:p>
      <w:pPr>
        <w:spacing w:line="580" w:lineRule="exact"/>
        <w:ind w:firstLine="640"/>
        <w:jc w:val="both"/>
      </w:pPr>
      <w:r>
        <w:rPr>
          <w:rFonts w:ascii="仿宋_GB2312" w:hAnsi="仿宋_GB2312" w:eastAsia="仿宋_GB2312"/>
          <w:b w:val="0"/>
          <w:sz w:val="32"/>
        </w:rPr>
        <w:t>6.社会保障和就业支出(类)行政事业单位养老支出(款)机关事业单位基本养老保险缴费支出(项):支出决算数为19.22万元，比上年决算增加6.22万元，增长47.85%,主要原因是：本年在职人员工资基数调增，养老缴费基数上涨，相应支出增加。</w:t>
      </w:r>
    </w:p>
    <w:p>
      <w:pPr>
        <w:spacing w:line="580" w:lineRule="exact"/>
        <w:ind w:firstLine="640"/>
        <w:jc w:val="both"/>
      </w:pPr>
      <w:r>
        <w:rPr>
          <w:rFonts w:ascii="仿宋_GB2312" w:hAnsi="仿宋_GB2312" w:eastAsia="仿宋_GB2312"/>
          <w:b w:val="0"/>
          <w:sz w:val="32"/>
        </w:rPr>
        <w:t>7.社会保障和就业支出(类)行政事业单位养老支出(款)机关事业单位职业年金缴费支出(项):支出决算数为9.61万元，比上年决算增加3.11万元，增长47.85%,主要原因是：本年在职人员工资基数调增，职业年金缴费基数上涨，职业年金缴费支出增加。</w:t>
      </w:r>
    </w:p>
    <w:p>
      <w:pPr>
        <w:spacing w:line="580" w:lineRule="exact"/>
        <w:ind w:firstLine="640"/>
        <w:jc w:val="both"/>
      </w:pPr>
      <w:r>
        <w:rPr>
          <w:rFonts w:ascii="仿宋_GB2312" w:hAnsi="仿宋_GB2312" w:eastAsia="仿宋_GB2312"/>
          <w:b w:val="0"/>
          <w:sz w:val="32"/>
        </w:rPr>
        <w:t>8.卫生健康支出(类)行政事业单位医疗(款)行政单位医疗(项):支出决算数为7.16万元，比上年决算增加2.32万元，增长47.93%,主要原因是：本年在职人员工资基数调增，医疗缴费基数上涨，相应支出增加。</w:t>
      </w:r>
    </w:p>
    <w:p>
      <w:pPr>
        <w:spacing w:line="580" w:lineRule="exact"/>
        <w:ind w:firstLine="640"/>
        <w:jc w:val="both"/>
      </w:pPr>
      <w:r>
        <w:rPr>
          <w:rFonts w:ascii="仿宋_GB2312" w:hAnsi="仿宋_GB2312" w:eastAsia="仿宋_GB2312"/>
          <w:b w:val="0"/>
          <w:sz w:val="32"/>
        </w:rPr>
        <w:t>9.卫生健康支出(类)行政事业单位医疗(款)事业单位医疗(项):支出决算数为2.45万元，比上年决算增加0.79万元，增长47.59%,主要原因是：本年在职人员工资基数调增，医疗缴费基数上涨，相应支出增加。</w:t>
      </w:r>
    </w:p>
    <w:p>
      <w:pPr>
        <w:spacing w:line="580" w:lineRule="exact"/>
        <w:ind w:firstLine="640"/>
        <w:jc w:val="both"/>
      </w:pPr>
      <w:r>
        <w:rPr>
          <w:rFonts w:ascii="仿宋_GB2312" w:hAnsi="仿宋_GB2312" w:eastAsia="仿宋_GB2312"/>
          <w:b w:val="0"/>
          <w:sz w:val="32"/>
        </w:rPr>
        <w:t>10.卫生健康支出(类)行政事业单位医疗(款)公务员医疗补助(项):支出决算数为0.60万元，比上年决算增加0.21万元，增长53.85%,主要原因是：本年在职人员工资基数调增，医疗缴费基数上涨，相应支出增加。</w:t>
      </w:r>
    </w:p>
    <w:p>
      <w:pPr>
        <w:spacing w:line="580" w:lineRule="exact"/>
        <w:ind w:firstLine="640"/>
        <w:jc w:val="both"/>
      </w:pPr>
      <w:r>
        <w:rPr>
          <w:rFonts w:ascii="仿宋_GB2312" w:hAnsi="仿宋_GB2312" w:eastAsia="仿宋_GB2312"/>
          <w:b w:val="0"/>
          <w:sz w:val="32"/>
        </w:rPr>
        <w:t>11.卫生健康支出(类)行政事业单位医疗(款)其他行政事业单位医疗支出(项):支出决算数为0.12万元，比上年决算增加0.01万元，增长9.09%,主要原因是：本年在职人员工资基数调增，医疗缴费基数上涨，相应支出增加。</w:t>
      </w:r>
    </w:p>
    <w:p>
      <w:pPr>
        <w:spacing w:line="580" w:lineRule="exact"/>
        <w:ind w:firstLine="640"/>
        <w:jc w:val="both"/>
      </w:pPr>
      <w:r>
        <w:rPr>
          <w:rFonts w:ascii="仿宋_GB2312" w:hAnsi="仿宋_GB2312" w:eastAsia="仿宋_GB2312"/>
          <w:b w:val="0"/>
          <w:sz w:val="32"/>
        </w:rPr>
        <w:t>12.住房保障支出(类)住房改革支出(款)住房公积金(项):支出决算数为15.52万元，比上年决算增加2.22万元，增长16.69%,主要原因是：本年在职人员工资基数调增，公积金缴费基数上涨，相应支出增加。</w:t>
      </w:r>
    </w:p>
    <w:p>
      <w:pPr>
        <w:spacing w:line="580" w:lineRule="exact"/>
        <w:ind w:firstLine="640"/>
        <w:jc w:val="both"/>
      </w:pPr>
      <w:r>
        <w:rPr>
          <w:rFonts w:ascii="仿宋_GB2312" w:hAnsi="仿宋_GB2312" w:eastAsia="仿宋_GB2312"/>
          <w:b w:val="0"/>
          <w:sz w:val="32"/>
        </w:rPr>
        <w:t>13.其他支出(类)其他支出(款)其他支出(项):支出决算数为8.63万元，比上年决算增加3.48万元，增长67.57%,主要原因是：本年功能科目调整，为民办实事经费上年在宗教事务科目列支，本年在其他支出科目列支，导致经费增加。</w:t>
      </w:r>
    </w:p>
    <w:p>
      <w:pPr>
        <w:spacing w:line="640" w:lineRule="exact"/>
        <w:ind w:firstLine="640"/>
        <w:jc w:val="both"/>
        <w:outlineLvl w:val="2"/>
      </w:pPr>
      <w:r>
        <w:rPr>
          <w:rFonts w:ascii="黑体" w:hAnsi="黑体" w:eastAsia="黑体"/>
          <w:sz w:val="32"/>
        </w:rPr>
        <w:t>六、一般公共预算财政拨款基本支出决算情况说明</w:t>
      </w:r>
    </w:p>
    <w:p>
      <w:pPr>
        <w:spacing w:line="580" w:lineRule="exact"/>
        <w:ind w:firstLine="640"/>
        <w:jc w:val="both"/>
      </w:pPr>
      <w:r>
        <w:rPr>
          <w:rFonts w:ascii="仿宋_GB2312" w:hAnsi="仿宋_GB2312" w:eastAsia="仿宋_GB2312"/>
          <w:b w:val="0"/>
          <w:sz w:val="32"/>
        </w:rPr>
        <w:t>2024年度一般公共预算财政拨款基本支出220.80万元，其中：</w:t>
      </w:r>
      <w:r>
        <w:rPr>
          <w:rFonts w:ascii="仿宋_GB2312" w:hAnsi="仿宋_GB2312" w:eastAsia="仿宋_GB2312"/>
          <w:b/>
          <w:sz w:val="32"/>
        </w:rPr>
        <w:t>人员经费205.01万元，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奖励金。</w:t>
      </w:r>
    </w:p>
    <w:p>
      <w:pPr>
        <w:spacing w:line="580" w:lineRule="exact"/>
        <w:ind w:firstLine="640"/>
        <w:jc w:val="both"/>
      </w:pPr>
      <w:r>
        <w:rPr>
          <w:rFonts w:ascii="仿宋_GB2312" w:hAnsi="仿宋_GB2312" w:eastAsia="仿宋_GB2312"/>
          <w:b/>
          <w:sz w:val="32"/>
        </w:rPr>
        <w:t>公用经费15.79万元，</w:t>
      </w:r>
      <w:r>
        <w:rPr>
          <w:rFonts w:ascii="仿宋_GB2312" w:hAnsi="仿宋_GB2312" w:eastAsia="仿宋_GB2312"/>
          <w:b w:val="0"/>
          <w:sz w:val="32"/>
        </w:rPr>
        <w:t>包括：办公费、印刷费、邮电费、差旅费、维修（护）费、公务接待费、委托业务费、工会经费、福利费、公务用车运行维护费、其他商品和服务支出。</w:t>
      </w:r>
    </w:p>
    <w:p>
      <w:pPr>
        <w:spacing w:line="640" w:lineRule="exact"/>
        <w:ind w:firstLine="640"/>
        <w:jc w:val="both"/>
        <w:outlineLvl w:val="2"/>
      </w:pPr>
      <w:r>
        <w:rPr>
          <w:rFonts w:ascii="黑体" w:hAnsi="黑体" w:eastAsia="黑体"/>
          <w:sz w:val="32"/>
        </w:rPr>
        <w:t>七、政府性基金预算财政拨款收入支出决算情况说明</w:t>
      </w:r>
    </w:p>
    <w:p>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pPr>
        <w:spacing w:line="640" w:lineRule="exact"/>
        <w:ind w:firstLine="640"/>
        <w:jc w:val="both"/>
        <w:outlineLvl w:val="2"/>
      </w:pPr>
      <w:r>
        <w:rPr>
          <w:rFonts w:ascii="黑体" w:hAnsi="黑体" w:eastAsia="黑体"/>
          <w:sz w:val="32"/>
        </w:rPr>
        <w:t>八、国有资本经营预算财政拨款收入支出决算情况说明</w:t>
      </w:r>
    </w:p>
    <w:p>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pPr>
        <w:spacing w:line="640" w:lineRule="exact"/>
        <w:ind w:firstLine="640"/>
        <w:jc w:val="both"/>
        <w:outlineLvl w:val="2"/>
      </w:pPr>
      <w:r>
        <w:rPr>
          <w:rFonts w:ascii="黑体" w:hAnsi="黑体" w:eastAsia="黑体"/>
          <w:sz w:val="32"/>
        </w:rPr>
        <w:t>九、财政拨款“三公”经费支出决算情况说明</w:t>
      </w:r>
    </w:p>
    <w:p>
      <w:pPr>
        <w:spacing w:line="580" w:lineRule="exact"/>
        <w:ind w:firstLine="640"/>
        <w:jc w:val="both"/>
      </w:pPr>
      <w:r>
        <w:rPr>
          <w:rFonts w:ascii="仿宋_GB2312" w:hAnsi="仿宋_GB2312" w:eastAsia="仿宋_GB2312"/>
          <w:b/>
          <w:sz w:val="32"/>
        </w:rPr>
        <w:t>2024年度财政拨款“三公”经费支出7.35万元，</w:t>
      </w:r>
      <w:r>
        <w:rPr>
          <w:rFonts w:ascii="仿宋_GB2312" w:hAnsi="仿宋_GB2312" w:eastAsia="仿宋_GB2312"/>
          <w:b w:val="0"/>
          <w:sz w:val="32"/>
        </w:rPr>
        <w:t>比上年增加4.26万元，增长138.31%，主要原因是：本年因业务需求，用车次数增加，燃油费增加，导致公务用车运行维护费较上年增加。本年因业务需求，增加公务接待工作，导致公务接待费较上年增加。</w:t>
      </w:r>
      <w:r>
        <w:rPr>
          <w:rFonts w:ascii="仿宋_GB2312" w:hAnsi="仿宋_GB2312" w:eastAsia="仿宋_GB2312"/>
          <w:b w:val="0"/>
          <w:sz w:val="32"/>
        </w:rPr>
        <w:t>其中：因公出国（境）费支出0.00万元，占0.00%，比上年增加0.00万元，增长0.00%，主要原因是：2023年与2024年均未安排因公出国（境）费支出。</w:t>
      </w:r>
      <w:r>
        <w:rPr>
          <w:rFonts w:ascii="仿宋_GB2312" w:hAnsi="仿宋_GB2312" w:eastAsia="仿宋_GB2312"/>
          <w:b w:val="0"/>
          <w:sz w:val="32"/>
        </w:rPr>
        <w:t>公务用车购置及运行维护费支出6.00万元，占81.63%，比上年增加3.05万元，增长103.39%，主要原因是：本年因业务需求，用车次数增加，燃油费增加，导致公务用车运行维护费较上年增加。</w:t>
      </w:r>
      <w:r>
        <w:rPr>
          <w:rFonts w:ascii="仿宋_GB2312" w:hAnsi="仿宋_GB2312" w:eastAsia="仿宋_GB2312"/>
          <w:b w:val="0"/>
          <w:sz w:val="32"/>
        </w:rPr>
        <w:t>公务接待费支出1.34万元，占18.23%，比上年增加1.21万元，增长930.77%，主要原因是：本年因业务需求，增加公务接待工作，导致公务接待费较上年增加。</w:t>
      </w:r>
    </w:p>
    <w:p>
      <w:pPr>
        <w:spacing w:line="580" w:lineRule="exact"/>
        <w:ind w:firstLine="640"/>
        <w:jc w:val="both"/>
      </w:pPr>
      <w:r>
        <w:rPr>
          <w:rFonts w:ascii="仿宋_GB2312" w:hAnsi="仿宋_GB2312" w:eastAsia="仿宋_GB2312"/>
          <w:b/>
          <w:sz w:val="32"/>
        </w:rPr>
        <w:t>具体情况如下：</w:t>
      </w:r>
    </w:p>
    <w:p>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pPr>
        <w:spacing w:line="580" w:lineRule="exact"/>
        <w:ind w:firstLine="640"/>
        <w:jc w:val="both"/>
      </w:pPr>
      <w:r>
        <w:rPr>
          <w:rFonts w:ascii="仿宋_GB2312" w:hAnsi="仿宋_GB2312" w:eastAsia="仿宋_GB2312"/>
          <w:b w:val="0"/>
          <w:sz w:val="32"/>
        </w:rPr>
        <w:t>公务用车购置及运行维护费6.00万元，其中：公务用车购置费0.00万元，公务用车运行维护费6.00万元。公务用车运行维护费开支内容包括车辆加油费、维修费、保险费、审车费、过路费等。公务用车购置数0辆，公务用车保有量1辆。国有资产占用情况中固定资产车辆1辆，与公务用车保有量差异原因是：本单位固定资产车辆与公务用车保有量一致无差异。</w:t>
      </w:r>
    </w:p>
    <w:p>
      <w:pPr>
        <w:spacing w:line="580" w:lineRule="exact"/>
        <w:ind w:firstLine="640"/>
        <w:jc w:val="both"/>
      </w:pPr>
      <w:r>
        <w:rPr>
          <w:rFonts w:ascii="仿宋_GB2312" w:hAnsi="仿宋_GB2312" w:eastAsia="仿宋_GB2312"/>
          <w:b w:val="0"/>
          <w:sz w:val="32"/>
        </w:rPr>
        <w:t>公务接待费1.34万元，开支内容包括接待上级领导检查产生的就餐费。单位全年安排的国内公务接待6批次，68人次。</w:t>
      </w:r>
    </w:p>
    <w:p>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8.00万元，决算数7.35万元，预决算差异率-8.12%，主要原因是：严格落实中央八项规定精神，厉行节约，减少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6.50万元，决算数6.00万元，预决算差异率-7.69%，主要原因是：严格落实中央八项规定精神，厉行节约，减少经费支出。公务接待费全年预算数1.50万元，决算数1.34万元，预决算差异率-10.67%，主要原因是：严格落实中央八项规定精神，厉行节约，减少经费支出。</w:t>
      </w:r>
    </w:p>
    <w:p>
      <w:pPr>
        <w:spacing w:line="640" w:lineRule="exact"/>
        <w:ind w:firstLine="640"/>
        <w:jc w:val="both"/>
        <w:outlineLvl w:val="2"/>
      </w:pPr>
      <w:r>
        <w:rPr>
          <w:rFonts w:ascii="黑体" w:hAnsi="黑体" w:eastAsia="黑体"/>
          <w:sz w:val="32"/>
        </w:rPr>
        <w:t>十、其他重要事项的情况说明</w:t>
      </w:r>
    </w:p>
    <w:p>
      <w:pPr>
        <w:spacing w:line="640" w:lineRule="exact"/>
        <w:ind w:firstLine="640"/>
        <w:jc w:val="both"/>
        <w:outlineLvl w:val="3"/>
      </w:pPr>
      <w:r>
        <w:rPr>
          <w:rFonts w:ascii="楷体_GB2312" w:hAnsi="楷体_GB2312" w:eastAsia="楷体_GB2312"/>
          <w:b/>
          <w:sz w:val="32"/>
        </w:rPr>
        <w:t>（一）机关运行经费及公用经费支出情况</w:t>
      </w:r>
    </w:p>
    <w:p>
      <w:pPr>
        <w:spacing w:line="580" w:lineRule="exact"/>
        <w:ind w:firstLine="640"/>
        <w:jc w:val="both"/>
      </w:pPr>
      <w:r>
        <w:rPr>
          <w:rFonts w:ascii="仿宋_GB2312" w:hAnsi="仿宋_GB2312" w:eastAsia="仿宋_GB2312"/>
          <w:b w:val="0"/>
          <w:sz w:val="32"/>
        </w:rPr>
        <w:t>2024年度中国共产主义青年团昌吉回族自治州委员会（行政单位和参照公务员法管理事业单位）机关运行经费支出15.79万元，比上年减少3.53万元，下降18.27%，主要原因是：严格控制经费，合理节约办公用品，减少不必要开支。</w:t>
      </w:r>
    </w:p>
    <w:p>
      <w:pPr>
        <w:spacing w:line="640" w:lineRule="exact"/>
        <w:ind w:firstLine="640"/>
        <w:jc w:val="both"/>
        <w:outlineLvl w:val="3"/>
      </w:pPr>
      <w:r>
        <w:rPr>
          <w:rFonts w:ascii="楷体_GB2312" w:hAnsi="楷体_GB2312" w:eastAsia="楷体_GB2312"/>
          <w:b/>
          <w:sz w:val="32"/>
        </w:rPr>
        <w:t>（二）政府采购情况</w:t>
      </w:r>
    </w:p>
    <w:p>
      <w:pPr>
        <w:spacing w:line="580" w:lineRule="exact"/>
        <w:ind w:firstLine="640"/>
        <w:jc w:val="both"/>
      </w:pPr>
      <w:r>
        <w:rPr>
          <w:rFonts w:ascii="仿宋_GB2312" w:hAnsi="仿宋_GB2312" w:eastAsia="仿宋_GB2312"/>
          <w:b w:val="0"/>
          <w:sz w:val="32"/>
        </w:rPr>
        <w:t>2024年度政府采购支出总额7.38万元，其中：政府采购货物支出4.59万元、政府采购工程支出0.00万元、政府采购服务支出2.79万元。</w:t>
      </w:r>
    </w:p>
    <w:p>
      <w:pPr>
        <w:spacing w:line="580" w:lineRule="exact"/>
        <w:ind w:firstLine="640"/>
        <w:jc w:val="both"/>
      </w:pPr>
      <w:r>
        <w:rPr>
          <w:rFonts w:ascii="仿宋_GB2312" w:hAnsi="仿宋_GB2312" w:eastAsia="仿宋_GB2312"/>
          <w:b w:val="0"/>
          <w:sz w:val="32"/>
        </w:rPr>
        <w:t>授予中小企业合同金额7.38万元，占政府采购支出总额的100.00%，其中：授予小微企业合同金额7.38万元，占政府采购支出总额的100.00%。</w:t>
      </w:r>
    </w:p>
    <w:p>
      <w:pPr>
        <w:spacing w:line="640" w:lineRule="exact"/>
        <w:ind w:firstLine="640"/>
        <w:jc w:val="both"/>
        <w:outlineLvl w:val="3"/>
      </w:pPr>
      <w:r>
        <w:rPr>
          <w:rFonts w:ascii="楷体_GB2312" w:hAnsi="楷体_GB2312" w:eastAsia="楷体_GB2312"/>
          <w:b/>
          <w:sz w:val="32"/>
        </w:rPr>
        <w:t>（三）国有资产占用情况说明</w:t>
      </w:r>
    </w:p>
    <w:p>
      <w:pPr>
        <w:spacing w:line="580" w:lineRule="exact"/>
        <w:ind w:firstLine="640"/>
        <w:jc w:val="both"/>
      </w:pPr>
      <w:r>
        <w:rPr>
          <w:rFonts w:ascii="仿宋_GB2312" w:hAnsi="仿宋_GB2312" w:eastAsia="仿宋_GB2312"/>
          <w:b w:val="0"/>
          <w:sz w:val="32"/>
        </w:rPr>
        <w:t>截至2024年12月31日，房屋0.00平方米，价值0.00万元。车辆1辆，价值19.70万元，其中：副部（省）级及以上领导用车0辆、主要负责人用车0辆、机要通信用车0辆、应急保障用车0辆、执法执勤用车0辆、特种专业技术用车0辆、离退休干部服务用车0辆、其他用车1辆，其他用车主要是：一般公务用车。单价100万元（含）以上设备（不含车辆）0台（套）。</w:t>
      </w:r>
    </w:p>
    <w:p>
      <w:pPr>
        <w:spacing w:line="640" w:lineRule="exact"/>
        <w:ind w:firstLine="640"/>
        <w:jc w:val="both"/>
        <w:outlineLvl w:val="2"/>
      </w:pPr>
      <w:r>
        <w:rPr>
          <w:rFonts w:ascii="黑体" w:hAnsi="黑体" w:eastAsia="黑体"/>
          <w:sz w:val="32"/>
        </w:rPr>
        <w:t>十一、预算绩效的情况说明</w:t>
      </w:r>
    </w:p>
    <w:p>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502.09万元，实际执行总额373.49万元；预算绩效评价项目9个，全年预算数156.70万元，全年执行数149.74万元。预算绩效管理取得的成效：一是通过项目绩效的实施，提高了团委项目资金的使用效率。二是通过项目资金的开展，为昌吉州开展共青团员和西部志愿者等各项工作提供了资金上的保障。发现的问题及原因：一是单位对绩效管理意识不强，平时工作中不注重资料的收集和整理。二是单位整体支出绩效自评工作取得了一定的成绩，但是离财政的要求还存在一定的距离，依然存在部门整体支出及项目支出绩效自评差异问题。我们将在不断总结经验教训的基础上，切实抓好组织、指导和协调工作，规范使用、科学管理，切实把部门整体支出和项目支出绩效自评工作切实抓出新的成效。下一步改进措施：一是加强宣传，提高干部职工的绩效评价风险防范意识，组织开展绩效评价工作业务培训，不断提高相关人员的能力和水平。二是进一步规范绩效目标数量细化，指标的设计需更加科学，切合本单位实际。三是不断总结绩效管理方面的经验教训的基础上，切实抓好组织、指导和协调工作，规范使用、科学管理，切实把单位绩效工作抓出新的成效。具体附整体支出绩效自评表，项目支出绩效自评表和评价报告。</w:t>
      </w:r>
    </w:p>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单位整体支出绩效自评表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单位名称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中国共产主义青年团昌吉回族自治州委员会</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部门资金（万元）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资金来源</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上级资金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74.39%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7.44</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本级资金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221.53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470.54</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348.90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80.05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31.55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24.59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合计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301.58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502.09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373.49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1、领导全州共青团的工作；领导州青学联和少先队工作；指导和管理全州性青少年社会团体工作。</w:t>
              <w:br/>
              <w:br/>
              <w:t>2、参与全州青少年法规制度的宣传、实施等工作，负责自治州未成年人保护工作；协助党委、政府处理、协调与青少年利益相关的事物。</w:t>
              <w:br/>
              <w:br/>
              <w:t>3、组织全州团员青年在经济建设中发挥生力军和突击队的作用、协助教育部门做好大、中、小学生的教育管理工作，维护学校稳定和社会安定团结；完成自治州党委、政府和区团委部署的以青少年为主体的各项任务。</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2024年我单位全年预算数为502.09万元，全年执行数为373.49万元，总预算执行率为74.39%。2024年我单位完成以下工作内容：1、开展“寻访红色记忆，赓续红色血脉’活动，组织共青团员、少先队员代表对全州31名老战士进行走访慰问。2、开展“红色旗帜，代代相传”千名团员集中入团仪式。3、开展“红领巾爱祖国”万名少年儿童入队仪式。4、开展“万名少先队员讲党史故事”大赛;与兵团第六师团委开展“红领巾爱祖国”融情实践活动;5、组织52名团员青年代表开居大国边疆.青春聚力”主题实践活动6、组织45名少先队员，开展“童心永向党， 军梦伴成长”融情军事夏令营活动。7、国庆节期间，联动各县(市)团委组织开展“千名少员看变化”活动。全力聚焦工作主线，共青团工作的大局贡献度不断提升，进一步加大向乡镇、村（社区）基层一线选派西部计划志愿者的工作力度，常态化做好西部计划志愿者安全教育、关心关爱工作。通过以上工作的实施，提升了广大团员青年后植爱党、爱国、爱社会主义的情感，让红色基因、革命星火代代相传。促进昌吉州青少年心灵成长。</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预期指标值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履职效能</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组织各类团的活动</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&gt;=2场次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《新疆维吾尔自治区青年发展规划》</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组织举办各项青少年民族团结融情活动</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&gt;=2场次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《新疆维吾尔自治区青年发展规划》</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组织举办各项青少年民族团结关爱关心行动</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&gt;=2场次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《新疆维吾尔自治区青年发展规划》</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本年大学生志愿者签订服务协议率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《新疆维吾尔自治区青年发展规划》</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举办预防青少年违法犯罪各类活动</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《新疆维吾尔自治区青年发展规划》</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r>
      <w:tr>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保障业务正常运行率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《新疆维吾尔自治区青年发展规划》</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=111.11%</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“十百千万”青少年民族团结融情工程经费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中国共产主义青年团昌吉回族自治州委员会</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中国共产主义青年团昌吉回族自治州委员会</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13.35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13.35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13.35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13.35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支持昌吉州青少年心灵成长，引导广大团员青年后植爱党、爱国、爱社会主义的情感，让红色基因、革命星火代代相传。目标1：举办万名少年儿童手拉手交往交流活动不少于1万人。目标2：开展“民族团结一家亲”融情营活动（一日营、周末营、夏令营等）3期以上。目标3：开展青少年民族团结关爱行动两场次以上。</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年12月31日，该西项目实际完成开展兵地、援疆省市青年活动交流1场次，开展铸牢中华民族共同体青年活动3场次，民族团结关爱活动2场次。通过该项目的实施，提升了广大团员青年后植爱党、爱国、爱社会主义的情感，让红色基因、革命星火代代相传。促进昌吉州青少年心灵成长。</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开展兵地、援疆省市青年交流活动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开展铸牢中华民族共同体意识青少年融情实践活动（一日营、周末营、夏令营等）</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&gt;=3场次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开展青少年民族团结关爱行动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&gt;=2场次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铸牢中华民族共同体意识青少年融情实践活动完成率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111.11%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14.22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66.67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年初完成率设置保守，已按期完成，因此产生偏差。</w:t>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开展铸牢中华民族共同体意识青少年融情实践活动费用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6.67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&lt;=7.35万元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=7.35万元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6.67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6.97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开展共青团爱青少年民族团结关爱行动费用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6.67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6.67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开展兵地、援疆省市交流活动费用支出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6.66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6.66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通过开展活动对少年民族团结意识影响力</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进一步增强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历史标准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未达监控节点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98.22分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大学生西部志愿者</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中国共产主义青年团昌吉回族自治州委员会</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中国共产主义青年团昌吉回族自治州委员会</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6.94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6.94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6.94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6.94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支持应届大学毕业生来昌吉参加志愿服务工作，鼓励志愿者服务期满后扎根当地。节庆慰问志愿者人数不少于144人；签订西部计划志愿者数量向自治区西部计划项目办申请志愿者人数不少于144人；签定服务协议率达到100%；应届高校毕业生审核质量达标率100%；促进优秀青年人才队伍健康成长；保证来昌服务的西部计划志愿者满意度大于95%。</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年12月31日，该项目完成节庆慰问志愿者人数达到150人；签订西部计划志愿者数量向自治区西部计划项目办申请志愿者人数达到150人；签定服务协议率达到100%；应届高校毕业生审核质量达标率100%；通过该项目的实施促升来昌服务的西部计划志愿者满意度，促进优秀青年人才队伍健康成长。</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节庆慰问志愿者人数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&gt;=150人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=150人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签订西部计划志愿者人数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&gt;=150人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=150人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144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签定服务协议率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66.67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志愿者培训工作开展时间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=2024年7月-2024年8月</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2024年8月31日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66.67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节庆慰问志愿者费用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&lt;=2.89万元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=2.89万元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志愿者房租、物业管理及取暖费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&lt;=0.55万元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=0.55万元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志愿者服务当地补助费用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&lt;=3.5万元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促进优秀青年人才队伍健康成长</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促进</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未达监控节点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少先队员昌吉州第七次代表大会</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中国共产主义青年团昌吉回族自治州委员会</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中国共产主义青年团昌吉回族自治州委员会</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10.01</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10.01</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10.01</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10.01</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10.01</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10.01</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坚持全团带队和团教协作，以增强少先队员光荣感为工作主线，坚持组织教育、自主教育、实践教育相统一，不断推进少先队组织创新和工作创新，教育引导全州广大少年儿童铸牢中华民族共同体意识。大会参加人数达到200人；大会会议议程达到4场次。</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年12月31日，该项目实际完成，按时召开代表大会，通过该项目的实施提升了全团带队和团教协作，以增强少先队员光荣感为工作主线，坚持组织教育、自主教育、实践教育相统一，不断推进少先队组织创新和工作创新，教育引导全州广大少年儿童铸牢中华民族共同体意识。大会参加人数达到200人；大会会议议程达到4场次。</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参加大会代表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&gt;=200人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=200人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大会会议议程</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&gt;=4场次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会议保障覆盖率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2024年10月9日前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=2024年10月9日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会议住宿费、就餐费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&lt;=4.71万元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=4.71万元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会议材料、场地费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会议宣传费用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&lt;=2.40万元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推进少先队组织创新和工作创新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推进</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参会代表满意度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111.11%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年初设置指标保守，实际实施情况较好，满意度达到100%，超过预期完成值，因此产生偏差。</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州庆活动志愿者培训、服务期间费用</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中国共产主义青年团昌吉回族自治州委员会</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中国共产主义青年团昌吉回族自治州委员会</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35.83</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35.83</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35.83</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35.83</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35.83</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35.83</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按照州党委部署安排，州团委主要承担保障昌吉州成立70周年活动志愿服务工作，为高质量做好州庆服务保障工作，州团委面向社会选拔至少200名优秀青年志愿者参与州庆活动志愿服务。全力做好州庆活动志愿服务,志愿者培训班举办至少一场，参加人数不少于205人。志愿者服装购买不少于205套。来宾指引接待，确保各项州庆活动有序开展。</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年12月31日，该项目实际完成志愿者培训班举办一场，参加人数达到204人。志愿者服装购买达到204套。来宾指引接待，确保各项州庆活动有序开展。通过该项目的实施保障昌吉州成立70周年活动志愿服务工作，高质量做好州庆服务保障工作，全力做好州庆活动志愿服务。</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志愿服务培训班</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&gt;=204人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=204人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购买志愿者服装</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&gt;=204套</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=204套</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志愿工作保障率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2024年11月30日前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2024年11月30日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服装配饰费用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&lt;=10.25万元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=10.25万元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岗前培训、食宿费用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&lt;=19.31万元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=19.31万元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应急保障费用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&lt;=6.11万元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=6.11万元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提升州庆活动质量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志愿者满意度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105.26%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年初设置指标保守，实际实施情况较好，满意度达到100%，超过预期完成值，因此产生偏差。</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庆祝“六一国际儿童节”活动经费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中国共产主义青年团昌吉回族自治州委员会</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中国共产主义青年团昌吉回族自治州委员会</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2.96</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2.96</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2.96</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2.96</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全州组织参加庆祝活动的儿童不少于1500人；组织参加人员公众号发布等宣传活动一次；印制全州优秀少先队员、少先队辅导员荣誉证书不少于20个；开展红领巾奖章评选工作一场次；庆祝“六一国际儿童节”工作完成比率大于90%；六一系列活动完成时间为2023年12月31日前；增强少先队员思想政治引领影响。</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年12月31日，该项目实际完成举办少先队辅导员培训班1场次；开展评选红领巾金奖章1次，举办少先队辅导员大赛一次。通过该项目的实施，提升了全州组织参加少先对活动积极性，促进少先队员思想政治引领影响。</w:t>
              <w:br/>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举办自治州少先队辅导员培训班</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开展红领巾奖章评选工作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举办自治州少先队辅导员业务能力大赛</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&gt;=2000本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无</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活动开展未购置工作手册，产生偏差。</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六一系列活动正常运行率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=66.67%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74.01%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66.67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活动开展未购置工作手册，未按指标完成，产生偏差。</w:t>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制作红领巾奖章、印制辅导员手册等支出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&lt;=1.46万元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=1.46万元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开展辅导员大赛活动支出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&lt;=1.50万元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0.47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增强少先队员思想政治引领影响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增强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部分达到预期指标且有一定效果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未达监控节点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正式材料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辅导员手册未购置，未按要求完成指标，因此产生偏差。</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77.50分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机构运行补助</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中国共产主义青年团昌吉回族自治州委员会</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中国共产主义青年团昌吉回族自治州委员会</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80.05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38.83</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31.87</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82.08%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5.52</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7.28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7.28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80.05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31.55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24.59</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为保障单位正常运转，该项资金主要用于弥补公用经费不足，保障办公人员数量，改善办公条件和环境，确保工作正常开展。 目标1：保障办公人员数量17人； 目标2：保障机关正常运行率达到95%； 目标3：保障单位运转，提升服务质量</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年12月31日，该项目实际完成保障办公人数10人，举办各类青年活动1场次，举办各类青年培训1场次。通过该项目的实施保障单位正常运转，该项资金主要用于弥补公用经费不足，保障办公人员数量，提升了办公条件和环境，确保工作正常开展，提升服务质量。</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保障办公人员数量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111.11%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8.89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单位年中入职1人，因此产生偏差。</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举办各类青年活动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举办各类青年培训</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保障各类活动开展运行率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111.11%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8.89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年初指标设置保守，已按期完成，因此产生偏差。</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2024年12月20日前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2024年12月20日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举办各类青年活动、保运转支出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&lt;=21.1万元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=17.08万元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80.95%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5.24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项目成本设置不够严谨，活动按期开展，资金节约</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举办各类青年培训支出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&lt;=10.45万元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=7.51万元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71.87%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0.89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项目成本设置不够严谨，活动按期开展，资金节约，因此产生偏差</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租用公务车用车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&lt;=3.50万元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未来之桥活动费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&lt;=1.28万元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购买台式电脑</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保障单位运转，提升服务质量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86.43分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纪念“五四”活动经费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中国共产主义青年团昌吉回族自治州委员会</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中国共产主义青年团昌吉回族自治州委员会</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4.68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4.68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4.68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4.68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不少于1000名青少年参与新团员入团仪式；全州参加纪念“五四”青年节系列活动不少于500人；新发展团员不少于3000人；开展主题团日活动12次。举办纪念“五四”青年节系列活动，确保活动正常运行率达到100%；2023年23月前完成纪念“五四”系列活动；增强团员青年长期鉴定理想信念的意识；参加活动的团员青年满意度90%。</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年12月31日，该项目实际完成开展青年活动系列1场，参加青春团聚活动达到200人，确保活动开展率达到90%，通过该项目的实施提升了广大青年参与实践活动积极性，促进了广大青年有理想、敢担当、能吃苦、肯奋斗的新时代好青年，增强团员青年长期鉴定理想信念的意识。</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开展各类青年系列活动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参加青年系列活动人数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&gt;=200人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=200人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开展青年系列活动，确保活动正常运行率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111.11%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13.33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66.67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年初指标设置保守，活动按时完成，因此出现偏差。</w:t>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购买、制作各类青年活动相关办公品、宣传材料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&lt;=1.68万元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=1.68万元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0.24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成本指标设置较低，导致指标出现偏差。</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各类调研、差旅支出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0.45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开展各类青年活动费用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青年长期鉴定理想信念的意识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增强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未达监控节点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98.33分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西部计划“小白杨”地方项目经费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中国共产主义青年团昌吉回族自治州委员会</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中国共产主义青年团昌吉回族自治州委员会</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40.10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40.10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40.10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40.10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40.10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40.10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支持应届大学毕业生来昌吉参加志愿服务工作，鼓励志愿者服务期满后扎根当地。节庆慰问志愿者人数不少于300人；实践锻炼活动不少于1次；志愿者经费保障费率达到100%；传统节日慰问、青马工程培训不少于2次；促进优秀青年人才队伍健康成长；保证来昌服务的西部计划志愿者满意度大于90%</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年12月31日，该项目实际完成节庆慰问志愿者人数达到600人；实践锻炼活动组织2次；志愿者经费保障费率达到100%；通过该项目的实施提升了优秀青年人才队伍健康成长；支持应届大学毕业生来昌吉参加志愿服务工作，鼓励志愿者服务期满后扎根当地。</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节庆志愿者慰问人数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&gt;=600人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=600人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215人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实践锻炼活动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&gt;=2次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志愿者经费保障率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岗前培训完成时间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2024年11月30日前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2024年11月30日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2024年7月-8月</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传统节日慰问、实践活动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招募宣讲、岗前培训费用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保险、服装周边等费用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&lt;=15.1万元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促进优秀青年人才队伍健康成长</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促进</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志愿者服务满意度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105.26%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年初设置指标保守，实际实施情况较好，满意度达到100%，超过预期完成值，因此产生偏差。</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预防青少年违法犯罪工作经费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中国共产主义青年团昌吉回族自治州委员会</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中国共产主义青年团昌吉回族自治州委员会</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开展法治进校园活动不少于9场、聘请不少于8名专家宣讲、顺利举办模拟法庭大赛、聘请预青工作专家评委7人、制作模拟法庭大赛及法治宣讲视频一部、开展关心关爱重点青少年群体活动不少于场次。预防青少年违法犯罪工作目标按期完成率大于90%，预计11月前组织预防青少年违法犯罪活动，增强广大青少年法治意识，提升自我保护能力等。</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年12月31日，该项目实际完成开展法治进校园活动达到1场，顺利举办模拟法庭大赛1场，开展关心关爱重点青少年群体活动1场次。预防青少年违法犯罪工作目标按期完成率达到90%，通过该项目的实施组织提前预防青少年违法犯罪，增强广大青少年法治意识，提升自我保护能力。</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开展法治进校园活动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举办昌吉州第十届青少年模拟法庭大赛</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开展关心关爱重点青少年群体活动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预防青少年违法犯罪工作目标按期完成</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111.11%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年初设置指标保守，实际完成情况较好，产生偏差。</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组织预防青少年违法犯罪活动时间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2024年11月30日前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2024年11月30日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开展模拟法庭大赛活动支出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开展关心关爱重点青少年群体活动费用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开展预防青少年违法犯罪系列活动支出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增强广大青少年法治意识，提升自我保护能力</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增强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未达监控节点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99.11分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p>
      <w:pPr>
        <w:spacing w:line="640" w:lineRule="exact"/>
        <w:ind w:firstLine="640"/>
        <w:jc w:val="both"/>
        <w:outlineLvl w:val="2"/>
      </w:pPr>
      <w:r>
        <w:rPr>
          <w:rFonts w:ascii="黑体" w:hAnsi="黑体" w:eastAsia="黑体"/>
          <w:sz w:val="32"/>
        </w:rPr>
        <w:t>十二、其他需说明的事项</w:t>
      </w:r>
    </w:p>
    <w:p>
      <w:pPr>
        <w:spacing w:line="580" w:lineRule="exact"/>
        <w:ind w:firstLine="640"/>
        <w:jc w:val="both"/>
      </w:pPr>
      <w:r>
        <w:rPr>
          <w:rFonts w:ascii="仿宋_GB2312" w:hAnsi="仿宋_GB2312" w:eastAsia="仿宋_GB2312"/>
          <w:b w:val="0"/>
          <w:sz w:val="32"/>
        </w:rPr>
        <w:t>本单位无其他需说明的事项。</w:t>
      </w:r>
    </w:p>
    <w:p>
      <w:r>
        <w:br w:type="page"/>
      </w:r>
    </w:p>
    <w:p>
      <w:pPr>
        <w:spacing w:line="240" w:lineRule="auto"/>
        <w:jc w:val="center"/>
        <w:outlineLvl w:val="1"/>
      </w:pPr>
      <w:r>
        <w:rPr>
          <w:rFonts w:ascii="黑体" w:hAnsi="黑体" w:eastAsia="黑体"/>
          <w:sz w:val="32"/>
        </w:rPr>
        <w:t>第三部分 专业名词解释</w:t>
      </w:r>
    </w:p>
    <w:p>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r>
        <w:br w:type="page"/>
      </w:r>
    </w:p>
    <w:p>
      <w:pPr>
        <w:spacing w:line="240" w:lineRule="auto"/>
        <w:jc w:val="center"/>
        <w:outlineLvl w:val="1"/>
      </w:pPr>
      <w:r>
        <w:rPr>
          <w:rFonts w:ascii="黑体" w:hAnsi="黑体" w:eastAsia="黑体"/>
          <w:sz w:val="32"/>
        </w:rPr>
        <w:t>第四部分 部门决算报表（见附表）</w:t>
      </w:r>
    </w:p>
    <w:p>
      <w:pPr>
        <w:spacing w:line="240" w:lineRule="auto"/>
        <w:ind w:firstLine="640"/>
        <w:jc w:val="both"/>
      </w:pPr>
      <w:r>
        <w:rPr>
          <w:rFonts w:ascii="仿宋_GB2312" w:hAnsi="仿宋_GB2312" w:eastAsia="仿宋_GB2312"/>
          <w:b w:val="0"/>
          <w:sz w:val="32"/>
        </w:rPr>
        <w:t>一、《收入支出决算总表》</w:t>
      </w:r>
    </w:p>
    <w:p>
      <w:pPr>
        <w:spacing w:line="240" w:lineRule="auto"/>
        <w:ind w:firstLine="640"/>
        <w:jc w:val="both"/>
      </w:pPr>
      <w:r>
        <w:rPr>
          <w:rFonts w:ascii="仿宋_GB2312" w:hAnsi="仿宋_GB2312" w:eastAsia="仿宋_GB2312"/>
          <w:b w:val="0"/>
          <w:sz w:val="32"/>
        </w:rPr>
        <w:t>二、《收入决算表》</w:t>
      </w:r>
    </w:p>
    <w:p>
      <w:pPr>
        <w:spacing w:line="240" w:lineRule="auto"/>
        <w:ind w:firstLine="640"/>
        <w:jc w:val="both"/>
      </w:pPr>
      <w:r>
        <w:rPr>
          <w:rFonts w:ascii="仿宋_GB2312" w:hAnsi="仿宋_GB2312" w:eastAsia="仿宋_GB2312"/>
          <w:b w:val="0"/>
          <w:sz w:val="32"/>
        </w:rPr>
        <w:t>三、《支出决算表》</w:t>
      </w:r>
    </w:p>
    <w:p>
      <w:pPr>
        <w:spacing w:line="240" w:lineRule="auto"/>
        <w:ind w:firstLine="640"/>
        <w:jc w:val="both"/>
      </w:pPr>
      <w:r>
        <w:rPr>
          <w:rFonts w:ascii="仿宋_GB2312" w:hAnsi="仿宋_GB2312" w:eastAsia="仿宋_GB2312"/>
          <w:b w:val="0"/>
          <w:sz w:val="32"/>
        </w:rPr>
        <w:t>四、《财政拨款收入支出决算总表》</w:t>
      </w:r>
    </w:p>
    <w:p>
      <w:pPr>
        <w:spacing w:line="240" w:lineRule="auto"/>
        <w:ind w:firstLine="640"/>
        <w:jc w:val="both"/>
      </w:pPr>
      <w:r>
        <w:rPr>
          <w:rFonts w:ascii="仿宋_GB2312" w:hAnsi="仿宋_GB2312" w:eastAsia="仿宋_GB2312"/>
          <w:b w:val="0"/>
          <w:sz w:val="32"/>
        </w:rPr>
        <w:t>五、《一般公共预算财政拨款支出决算表》</w:t>
      </w:r>
    </w:p>
    <w:p>
      <w:pPr>
        <w:spacing w:line="240" w:lineRule="auto"/>
        <w:ind w:firstLine="640"/>
        <w:jc w:val="both"/>
      </w:pPr>
      <w:r>
        <w:rPr>
          <w:rFonts w:ascii="仿宋_GB2312" w:hAnsi="仿宋_GB2312" w:eastAsia="仿宋_GB2312"/>
          <w:b w:val="0"/>
          <w:sz w:val="32"/>
        </w:rPr>
        <w:t>六、《一般公共预算财政拨款基本支出决算表》</w:t>
      </w:r>
    </w:p>
    <w:p>
      <w:pPr>
        <w:spacing w:line="240" w:lineRule="auto"/>
        <w:ind w:firstLine="640"/>
        <w:jc w:val="both"/>
      </w:pPr>
      <w:r>
        <w:rPr>
          <w:rFonts w:ascii="仿宋_GB2312" w:hAnsi="仿宋_GB2312" w:eastAsia="仿宋_GB2312"/>
          <w:b w:val="0"/>
          <w:sz w:val="32"/>
        </w:rPr>
        <w:t>七、《政府性基金预算财政拨款收入支出决算表》</w:t>
      </w:r>
    </w:p>
    <w:p>
      <w:pPr>
        <w:spacing w:line="240" w:lineRule="auto"/>
        <w:ind w:firstLine="640"/>
        <w:jc w:val="both"/>
      </w:pPr>
      <w:r>
        <w:rPr>
          <w:rFonts w:ascii="仿宋_GB2312" w:hAnsi="仿宋_GB2312" w:eastAsia="仿宋_GB2312"/>
          <w:b w:val="0"/>
          <w:sz w:val="32"/>
        </w:rPr>
        <w:t>八、《国有资本经营预算财政拨款收入支出决算表》</w:t>
      </w:r>
    </w:p>
    <w:p>
      <w:pPr>
        <w:spacing w:line="240" w:lineRule="auto"/>
        <w:ind w:firstLine="640"/>
        <w:jc w:val="both"/>
      </w:pPr>
      <w:r>
        <w:rPr>
          <w:rFonts w:ascii="仿宋_GB2312" w:hAnsi="仿宋_GB2312" w:eastAsia="仿宋_GB2312"/>
          <w:b w:val="0"/>
          <w:sz w:val="32"/>
        </w:rPr>
        <w:t>九、《财政拨款“三公”经费支出决算表》</w:t>
      </w: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523</Words>
  <Characters>541</Characters>
  <Lines>0</Lines>
  <Paragraphs>0</Paragraphs>
  <TotalTime>0</TotalTime>
  <ScaleCrop>false</ScaleCrop>
  <LinksUpToDate>false</LinksUpToDate>
  <CharactersWithSpaces>547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郭子歪</cp:lastModifiedBy>
  <cp:lastPrinted>2024-07-22T11:58:00Z</cp:lastPrinted>
  <dcterms:modified xsi:type="dcterms:W3CDTF">2025-08-08T11:56:24Z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B858A68E913346F885B5BC17D4DBEB06_13</vt:lpwstr>
  </property>
  <property fmtid="{D5CDD505-2E9C-101B-9397-08002B2CF9AE}" pid="4" name="KSOTemplateDocerSaveRecord">
    <vt:lpwstr>eyJoZGlkIjoiODY5ZWEwNzk5MThkZjUwOTQxNjE1MDdiYWJiNGU5YzAiLCJ1c2VySWQiOiI0Nzg3NDM5MjgifQ==</vt:lpwstr>
  </property>
</Properties>
</file>