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中共昌吉回族自治州委员会直属机关工作委员会2024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1、领导自治州直属机关党的工作，按照《中国共产党党和国家机关基层组织工作条例》的规定及中央、自治区、州党委的部署，结合机关实际，对机关党的工作作出规划；对下级机关党的工作进行业务指导。</w:t>
      </w:r>
    </w:p>
    <w:p>
      <w:pPr>
        <w:spacing w:line="580" w:lineRule="exact"/>
        <w:ind w:firstLine="640"/>
        <w:jc w:val="both"/>
      </w:pPr>
      <w:r>
        <w:rPr>
          <w:rFonts w:ascii="仿宋_GB2312" w:hAnsi="仿宋_GB2312" w:eastAsia="仿宋_GB2312"/>
          <w:sz w:val="32"/>
        </w:rPr>
        <w:t>2、搞好调查研究，提出加强和改进自治州机关党的工作的措施和意见。</w:t>
      </w:r>
    </w:p>
    <w:p>
      <w:pPr>
        <w:spacing w:line="580" w:lineRule="exact"/>
        <w:ind w:firstLine="640"/>
        <w:jc w:val="both"/>
      </w:pPr>
      <w:r>
        <w:rPr>
          <w:rFonts w:ascii="仿宋_GB2312" w:hAnsi="仿宋_GB2312" w:eastAsia="仿宋_GB2312"/>
          <w:sz w:val="32"/>
        </w:rPr>
        <w:t>3、审批州直机关党委、直属党总支部、党支部的建立；审批州直机关党组织领导班子成员的任免；负责州直机关党委和直属党（总）支部书记、副书记、委员的培训工作。</w:t>
      </w:r>
    </w:p>
    <w:p>
      <w:pPr>
        <w:spacing w:line="580" w:lineRule="exact"/>
        <w:ind w:firstLine="640"/>
        <w:jc w:val="both"/>
      </w:pPr>
      <w:r>
        <w:rPr>
          <w:rFonts w:ascii="仿宋_GB2312" w:hAnsi="仿宋_GB2312" w:eastAsia="仿宋_GB2312"/>
          <w:sz w:val="32"/>
        </w:rPr>
        <w:t>4、监督检查州直各部门、各单位机关党组织切实履行职责、落实好党的工作的各项任务的情况。</w:t>
      </w:r>
    </w:p>
    <w:p>
      <w:pPr>
        <w:spacing w:line="580" w:lineRule="exact"/>
        <w:ind w:firstLine="640"/>
        <w:jc w:val="both"/>
      </w:pPr>
      <w:r>
        <w:rPr>
          <w:rFonts w:ascii="仿宋_GB2312" w:hAnsi="仿宋_GB2312" w:eastAsia="仿宋_GB2312"/>
          <w:sz w:val="32"/>
        </w:rPr>
        <w:t>5、按照自治区党委和州党委的要求，指导机关各级党组织搞好思想、组织、作风、制度和反腐倡廉建设，做好党员管理教育工作。</w:t>
      </w:r>
    </w:p>
    <w:p>
      <w:pPr>
        <w:spacing w:line="580" w:lineRule="exact"/>
        <w:ind w:firstLine="640"/>
        <w:jc w:val="both"/>
      </w:pPr>
      <w:r>
        <w:rPr>
          <w:rFonts w:ascii="仿宋_GB2312" w:hAnsi="仿宋_GB2312" w:eastAsia="仿宋_GB2312"/>
          <w:sz w:val="32"/>
        </w:rPr>
        <w:t>6、指导州直机关党组织做好思想政治工作。</w:t>
      </w:r>
    </w:p>
    <w:p>
      <w:pPr>
        <w:spacing w:line="580" w:lineRule="exact"/>
        <w:ind w:firstLine="640"/>
        <w:jc w:val="both"/>
      </w:pPr>
      <w:r>
        <w:rPr>
          <w:rFonts w:ascii="仿宋_GB2312" w:hAnsi="仿宋_GB2312" w:eastAsia="仿宋_GB2312"/>
          <w:sz w:val="32"/>
        </w:rPr>
        <w:t>7、指导州直机关党组织做好发展新党员工作；负责直属党总支部、支部发展党员工作；组织州直机关科级党员干部的培训以及入党积极分子的培训工作。</w:t>
      </w:r>
    </w:p>
    <w:p>
      <w:pPr>
        <w:spacing w:line="580" w:lineRule="exact"/>
        <w:ind w:firstLine="640"/>
        <w:jc w:val="both"/>
      </w:pPr>
      <w:r>
        <w:rPr>
          <w:rFonts w:ascii="仿宋_GB2312" w:hAnsi="仿宋_GB2312" w:eastAsia="仿宋_GB2312"/>
          <w:sz w:val="32"/>
        </w:rPr>
        <w:t>8、按照有关规定，领导州直机关党组织的纪律检查工作，审核、审批职责范围的党员违反党纪的处分和有关党员的组织处理问题。</w:t>
      </w:r>
    </w:p>
    <w:p>
      <w:pPr>
        <w:spacing w:line="580" w:lineRule="exact"/>
        <w:ind w:firstLine="640"/>
        <w:jc w:val="both"/>
      </w:pPr>
      <w:r>
        <w:rPr>
          <w:rFonts w:ascii="仿宋_GB2312" w:hAnsi="仿宋_GB2312" w:eastAsia="仿宋_GB2312"/>
          <w:sz w:val="32"/>
        </w:rPr>
        <w:t>9、定期听取汇报，对州直机关党组织工作状况进行届中、届满考核；指导州直机关党组织实施对党员特别是党员领导干部的监督，定期了解各部门党员和群众对部门领导干部的意见，及时向自治州党委反映各部门领导班子和领导干部抓党建工作责任制的情况和问题。</w:t>
      </w:r>
    </w:p>
    <w:p>
      <w:pPr>
        <w:spacing w:line="580" w:lineRule="exact"/>
        <w:ind w:firstLine="640"/>
        <w:jc w:val="both"/>
      </w:pPr>
      <w:r>
        <w:rPr>
          <w:rFonts w:ascii="仿宋_GB2312" w:hAnsi="仿宋_GB2312" w:eastAsia="仿宋_GB2312"/>
          <w:sz w:val="32"/>
        </w:rPr>
        <w:t>10、领导州直机关工会、共青团工作，并按照其各自的章程开展工作。</w:t>
      </w:r>
    </w:p>
    <w:p>
      <w:pPr>
        <w:spacing w:line="580" w:lineRule="exact"/>
        <w:ind w:firstLine="640"/>
        <w:jc w:val="both"/>
      </w:pPr>
      <w:r>
        <w:rPr>
          <w:rFonts w:ascii="仿宋_GB2312" w:hAnsi="仿宋_GB2312" w:eastAsia="仿宋_GB2312"/>
          <w:sz w:val="32"/>
        </w:rPr>
        <w:t>11、完成自治州党委交办的其它工作。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中共昌吉回族自治州委员会直属机关工作委员会2024年度，实有人数27人，其中：在职人员18人，增加2人；离休人员0人，增加0人；退休人员9人,增加0人。</w:t>
      </w:r>
    </w:p>
    <w:p>
      <w:pPr>
        <w:spacing w:line="580" w:lineRule="exact"/>
        <w:ind w:firstLine="640"/>
        <w:jc w:val="both"/>
      </w:pPr>
      <w:r>
        <w:rPr>
          <w:rFonts w:ascii="仿宋_GB2312" w:hAnsi="仿宋_GB2312" w:eastAsia="仿宋_GB2312"/>
          <w:sz w:val="32"/>
        </w:rPr>
        <w:t>中共昌吉回族自治州委员会直属机关工作委员会无下属预算单位，下设5个科室，分别是：办公室、组织人事科、宣传科、群团科、党员教育培训中心。</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2024年度收入总计457.73万元，</w:t>
      </w:r>
      <w:r>
        <w:rPr>
          <w:rFonts w:ascii="仿宋_GB2312" w:hAnsi="仿宋_GB2312" w:eastAsia="仿宋_GB2312"/>
          <w:b w:val="0"/>
          <w:sz w:val="32"/>
        </w:rPr>
        <w:t>其中：本年收入合计436.88万元，使用非财政拨款结余（含专用结余）0.00万元，年初结转和结余20.85万元。</w:t>
      </w:r>
    </w:p>
    <w:p>
      <w:pPr>
        <w:spacing w:line="580" w:lineRule="exact"/>
        <w:ind w:firstLine="640"/>
        <w:jc w:val="both"/>
      </w:pPr>
      <w:r>
        <w:rPr>
          <w:rFonts w:ascii="仿宋_GB2312" w:hAnsi="仿宋_GB2312" w:eastAsia="仿宋_GB2312"/>
          <w:b/>
          <w:sz w:val="32"/>
        </w:rPr>
        <w:t>2024年度支出总计457.73万元，</w:t>
      </w:r>
      <w:r>
        <w:rPr>
          <w:rFonts w:ascii="仿宋_GB2312" w:hAnsi="仿宋_GB2312" w:eastAsia="仿宋_GB2312"/>
          <w:b w:val="0"/>
          <w:sz w:val="32"/>
        </w:rPr>
        <w:t>其中：本年支出合计436.58万元，结余分配0.00万元，年末结转和结余21.15万元。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减少13.99万元，下降2.97%，主要原因是：本年减少为民办实事人员，相应工作经费支出减少；本年减少去世人员抚恤经费。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本年收入436.88万元，</w:t>
      </w:r>
      <w:r>
        <w:rPr>
          <w:rFonts w:ascii="仿宋_GB2312" w:hAnsi="仿宋_GB2312" w:eastAsia="仿宋_GB2312"/>
          <w:b w:val="0"/>
          <w:sz w:val="32"/>
        </w:rPr>
        <w:t>其中：财政拨款收入402.75万元，占92.19%；上级补助收入0.00万元，占0.00%；事业收入0.00万元，占0.00%；经营收入0.00万元，占0.00%；附属单位上缴收入0.00万元，占0.00%；其他收入34.13万元，占7.81%。</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本年支出436.58万元，</w:t>
      </w:r>
      <w:r>
        <w:rPr>
          <w:rFonts w:ascii="仿宋_GB2312" w:hAnsi="仿宋_GB2312" w:eastAsia="仿宋_GB2312"/>
          <w:b w:val="0"/>
          <w:sz w:val="32"/>
        </w:rPr>
        <w:t>其中：基本支出349.60万元，占80.08%；项目支出86.98万元，占19.92%；上缴上级支出0.00万元，占0.00%；经营支出0.00万元，占0.00%；对附属单位补助支出0.00万元，占0.00%。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2024年度财政拨款收入总计422.42万元，</w:t>
      </w:r>
      <w:r>
        <w:rPr>
          <w:rFonts w:ascii="仿宋_GB2312" w:hAnsi="仿宋_GB2312" w:eastAsia="仿宋_GB2312"/>
          <w:b w:val="0"/>
          <w:sz w:val="32"/>
        </w:rPr>
        <w:t>其中：年初财政拨款结转和结余19.67万元，本年财政拨款收入402.75万元。</w:t>
      </w:r>
      <w:r>
        <w:rPr>
          <w:rFonts w:ascii="仿宋_GB2312" w:hAnsi="仿宋_GB2312" w:eastAsia="仿宋_GB2312"/>
          <w:b/>
          <w:sz w:val="32"/>
        </w:rPr>
        <w:t>财政拨款支出总计422.42万元，</w:t>
      </w:r>
      <w:r>
        <w:rPr>
          <w:rFonts w:ascii="仿宋_GB2312" w:hAnsi="仿宋_GB2312" w:eastAsia="仿宋_GB2312"/>
          <w:b w:val="0"/>
          <w:sz w:val="32"/>
        </w:rPr>
        <w:t>其中：年末财政拨款结转和结余19.67万元，本年财政拨款支出402.75万元。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减少22.21万元，下降5.00%，主要原因是：本年减少为民办实事人员，相应工作经费支出减少；本年减少去世人员抚恤经费。</w:t>
      </w:r>
      <w:r>
        <w:rPr>
          <w:rFonts w:ascii="仿宋_GB2312" w:hAnsi="仿宋_GB2312" w:eastAsia="仿宋_GB2312"/>
          <w:b/>
          <w:sz w:val="32"/>
        </w:rPr>
        <w:t>与年初预算相比，</w:t>
      </w:r>
      <w:r>
        <w:rPr>
          <w:rFonts w:ascii="仿宋_GB2312" w:hAnsi="仿宋_GB2312" w:eastAsia="仿宋_GB2312"/>
          <w:b w:val="0"/>
          <w:sz w:val="32"/>
        </w:rPr>
        <w:t>年初预算数394.82万元，决算数422.42万元，预决算差异率6.99%，主要原因是：本年在职人员工资调薪，工资、社保、公积金等相关人员经费增加，年中追加人员经费。年中追加本年增加党建骨训示范班项目项目经费，机关运行补助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2024年度一般公共预算财政拨款支出402.75万元，</w:t>
      </w:r>
      <w:r>
        <w:rPr>
          <w:rFonts w:ascii="仿宋_GB2312" w:hAnsi="仿宋_GB2312" w:eastAsia="仿宋_GB2312"/>
          <w:b w:val="0"/>
          <w:sz w:val="32"/>
        </w:rPr>
        <w:t>占本年支出合计的92.25%。</w:t>
      </w:r>
      <w:r>
        <w:rPr>
          <w:rFonts w:ascii="仿宋_GB2312" w:hAnsi="仿宋_GB2312" w:eastAsia="仿宋_GB2312"/>
          <w:b/>
          <w:sz w:val="32"/>
        </w:rPr>
        <w:t>与上年相比，</w:t>
      </w:r>
      <w:r>
        <w:rPr>
          <w:rFonts w:ascii="仿宋_GB2312" w:hAnsi="仿宋_GB2312" w:eastAsia="仿宋_GB2312"/>
          <w:b w:val="0"/>
          <w:sz w:val="32"/>
        </w:rPr>
        <w:t>减少22.22万元，下降5.23%，主要原因是：本年减少为民办实事人员，相应工作经费支出减少；本年减少去世人员抚恤经费。</w:t>
      </w:r>
      <w:r>
        <w:rPr>
          <w:rFonts w:ascii="仿宋_GB2312" w:hAnsi="仿宋_GB2312" w:eastAsia="仿宋_GB2312"/>
          <w:b/>
          <w:sz w:val="32"/>
        </w:rPr>
        <w:t>与年初预算相比,</w:t>
      </w:r>
      <w:r>
        <w:rPr>
          <w:rFonts w:ascii="仿宋_GB2312" w:hAnsi="仿宋_GB2312" w:eastAsia="仿宋_GB2312"/>
          <w:b w:val="0"/>
          <w:sz w:val="32"/>
        </w:rPr>
        <w:t>年初预算数394.82万元，决算数402.75万元，预决算差异率2.01%，主要原因是：本年在职人员工资调薪，工资、社保、公积金等相关人员经费增加，年中追加人员经费。年中追加本年增加党建骨训示范班项目经费，机关运行补助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1.一般公共服务支出(类)304.15万元,占75.52%。</w:t>
      </w:r>
    </w:p>
    <w:p>
      <w:pPr>
        <w:spacing w:line="580" w:lineRule="exact"/>
        <w:ind w:firstLine="640"/>
        <w:jc w:val="both"/>
      </w:pPr>
      <w:r>
        <w:rPr>
          <w:rFonts w:ascii="仿宋_GB2312" w:hAnsi="仿宋_GB2312" w:eastAsia="仿宋_GB2312"/>
          <w:b w:val="0"/>
          <w:sz w:val="32"/>
        </w:rPr>
        <w:t>2.社会保障和就业支出(类)54.30万元,占13.48%。</w:t>
      </w:r>
    </w:p>
    <w:p>
      <w:pPr>
        <w:spacing w:line="580" w:lineRule="exact"/>
        <w:ind w:firstLine="640"/>
        <w:jc w:val="both"/>
      </w:pPr>
      <w:r>
        <w:rPr>
          <w:rFonts w:ascii="仿宋_GB2312" w:hAnsi="仿宋_GB2312" w:eastAsia="仿宋_GB2312"/>
          <w:b w:val="0"/>
          <w:sz w:val="32"/>
        </w:rPr>
        <w:t>3.卫生健康支出(类)18.50万元,占4.59%。</w:t>
      </w:r>
    </w:p>
    <w:p>
      <w:pPr>
        <w:spacing w:line="580" w:lineRule="exact"/>
        <w:ind w:firstLine="640"/>
        <w:jc w:val="both"/>
      </w:pPr>
      <w:r>
        <w:rPr>
          <w:rFonts w:ascii="仿宋_GB2312" w:hAnsi="仿宋_GB2312" w:eastAsia="仿宋_GB2312"/>
          <w:b w:val="0"/>
          <w:sz w:val="32"/>
        </w:rPr>
        <w:t>4.住房保障支出(类)25.80万元,占6.41%。</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1.一般公共服务支出(类)其他共产党事务支出(款)行政运行(项):支出决算数为186.57万元，比上年决算减少31.39万元，下降14.40%,主要原因是：本年减少去世人员抚恤经费。</w:t>
      </w:r>
    </w:p>
    <w:p>
      <w:pPr>
        <w:spacing w:line="580" w:lineRule="exact"/>
        <w:ind w:firstLine="640"/>
        <w:jc w:val="both"/>
      </w:pPr>
      <w:r>
        <w:rPr>
          <w:rFonts w:ascii="仿宋_GB2312" w:hAnsi="仿宋_GB2312" w:eastAsia="仿宋_GB2312"/>
          <w:b w:val="0"/>
          <w:sz w:val="32"/>
        </w:rPr>
        <w:t>2.一般公共服务支出(类)其他共产党事务支出(款)一般行政管理事务(项):支出决算数为53.15万元，比上年决算增加51.00万元，增长2,372.09%,主要原因是：本年功能科目调整，机关业务经费上年在其他共产党事务支出科目列支，本年在一般行政管理事务科目列支，导致经费增加。</w:t>
      </w:r>
    </w:p>
    <w:p>
      <w:pPr>
        <w:spacing w:line="580" w:lineRule="exact"/>
        <w:ind w:firstLine="640"/>
        <w:jc w:val="both"/>
      </w:pPr>
      <w:r>
        <w:rPr>
          <w:rFonts w:ascii="仿宋_GB2312" w:hAnsi="仿宋_GB2312" w:eastAsia="仿宋_GB2312"/>
          <w:b w:val="0"/>
          <w:sz w:val="32"/>
        </w:rPr>
        <w:t>3.一般公共服务支出(类)其他共产党事务支出(款)事业运行(项):支出决算数为64.43万元，比上年决算增加14.58万元，增长29.25%,主要原因是：本年在职人员工资调增，导致相关人员经费较上年有所增加。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4.一般公共服务支出(类)其他共产党事务支出(款)其他共产党事务支出(项):支出决算数为0.00万元，比上年决算减少51.00万元，下降100.00%,主要原因是：本年功能科目调整，机关业务经费上年在其他共产党事务支出科目列支，本年在一般行政管理事务科目列支，导致经费减少。</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5.社会保障和就业支出(类)行政事业单位养老支出(款)行政单位离退休(项):支出决算数为6.27万元，比上年决算增加2.48万元，增长65.44%,主要原因是：本年增加退休人员基础绩效奖，退休费支出增加。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31.99万元，比上年决算增加1.20万元，增长3.90%,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15.99万元，比上年决算减少8.48万元，下降34.65%,主要原因是：本年发放上年退休人员做实部分职业年金，导致单位职业年金缴费支出较上年减少。</w:t>
      </w:r>
    </w:p>
    <w:p>
      <w:pPr>
        <w:spacing w:line="580" w:lineRule="exact"/>
        <w:ind w:firstLine="640"/>
        <w:jc w:val="both"/>
      </w:pPr>
      <w:r>
        <w:rPr>
          <w:rFonts w:ascii="仿宋_GB2312" w:hAnsi="仿宋_GB2312" w:eastAsia="仿宋_GB2312"/>
          <w:b w:val="0"/>
          <w:sz w:val="32"/>
        </w:rPr>
        <w:t>8.社会保障和就业支出(类)其他社会保障和就业支出(款)其他社会保障和就业支出(项):支出决算数为0.05万元，比上年决算增加0.05万元，增长100.00%,主要原因是：本年在职人员工资基数调增，缴费基数上涨，相应支出增加。</w:t>
      </w:r>
    </w:p>
    <w:p>
      <w:pPr>
        <w:spacing w:line="580" w:lineRule="exact"/>
        <w:ind w:firstLine="640"/>
        <w:jc w:val="both"/>
      </w:pPr>
      <w:r>
        <w:rPr>
          <w:rFonts w:ascii="仿宋_GB2312" w:hAnsi="仿宋_GB2312" w:eastAsia="仿宋_GB2312"/>
          <w:b w:val="0"/>
          <w:sz w:val="32"/>
        </w:rPr>
        <w:t>9.卫生健康支出(类)行政事业单位医疗(款)行政单位医疗(项):支出决算数为11.27万元，比上年决算减少0.48万元，下降4.09%,主要原因是：因退休人员医疗保险制度改革，退休人员基本医疗不再由单位缴纳，导致经费较上年减少。</w:t>
      </w:r>
    </w:p>
    <w:p>
      <w:pPr>
        <w:spacing w:line="580" w:lineRule="exact"/>
        <w:ind w:firstLine="640"/>
        <w:jc w:val="both"/>
      </w:pPr>
      <w:r>
        <w:rPr>
          <w:rFonts w:ascii="仿宋_GB2312" w:hAnsi="仿宋_GB2312" w:eastAsia="仿宋_GB2312"/>
          <w:b w:val="0"/>
          <w:sz w:val="32"/>
        </w:rPr>
        <w:t>10.卫生健康支出(类)行政事业单位医疗(款)事业单位医疗(项):支出决算数为6.08万元，比上年决算增加2.43万元，增长66.58%,主要原因是：本年在职人员工资基数调增，医疗缴费基数上涨，相应支出增加。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11.卫生健康支出(类)行政事业单位医疗(款)公务员医疗补助(项):支出决算数为1.00万元，比上年决算增加0.04万元，增长4.17%,主要原因是：本年在职人员工资基数调增，医疗缴费基数上涨，相应支出增加。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12.卫生健康支出(类)行政事业单位医疗(款)其他行政事业单位医疗支出(项):支出决算数为0.15万元，比上年决算增加0.00万元，增长0.00%,主要原因是：本年工伤保险、大病等医疗支出与上年一致，无变动。</w:t>
      </w:r>
    </w:p>
    <w:p>
      <w:pPr>
        <w:spacing w:line="580" w:lineRule="exact"/>
        <w:ind w:firstLine="640"/>
        <w:jc w:val="both"/>
      </w:pPr>
      <w:r>
        <w:rPr>
          <w:rFonts w:ascii="仿宋_GB2312" w:hAnsi="仿宋_GB2312" w:eastAsia="仿宋_GB2312"/>
          <w:b w:val="0"/>
          <w:sz w:val="32"/>
        </w:rPr>
        <w:t>13.住房保障支出(类)住房改革支出(款)住房公积金(项):支出决算数为25.80万元，比上年决算增加1.60万元，增长6.61%,主要原因是：本年在职人员工资基数调增，公积金缴费基数上涨，相应支出增加。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14.其他支出(类)其他支出(款)其他支出(项):支出决算数为0.00万元，比上年决算减少4.24万元，下降100.00%,主要原因是：本年减少为民办实事人员，相应工作经费支出减少。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2024年度一般公共预算财政拨款基本支出349.60万元，其中：</w:t>
      </w:r>
      <w:r>
        <w:rPr>
          <w:rFonts w:ascii="仿宋_GB2312" w:hAnsi="仿宋_GB2312" w:eastAsia="仿宋_GB2312"/>
          <w:b/>
          <w:sz w:val="32"/>
        </w:rPr>
        <w:t>人员经费326.11万元，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pPr>
        <w:spacing w:line="580" w:lineRule="exact"/>
        <w:ind w:firstLine="640"/>
        <w:jc w:val="both"/>
      </w:pPr>
      <w:r>
        <w:rPr>
          <w:rFonts w:ascii="仿宋_GB2312" w:hAnsi="仿宋_GB2312" w:eastAsia="仿宋_GB2312"/>
          <w:b/>
          <w:sz w:val="32"/>
        </w:rPr>
        <w:t>公用经费23.50万元，</w:t>
      </w:r>
      <w:r>
        <w:rPr>
          <w:rFonts w:ascii="仿宋_GB2312" w:hAnsi="仿宋_GB2312" w:eastAsia="仿宋_GB2312"/>
          <w:b w:val="0"/>
          <w:sz w:val="32"/>
        </w:rPr>
        <w:t>包括：办公费、印刷费、邮电费、差旅费、培训费、公务接待费、工会经费、福利费、公务用车运行维护费、其他交通费用、其他商品和服务支出。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2024年度财政拨款“三公”经费支出2.21万元，</w:t>
      </w:r>
      <w:r>
        <w:rPr>
          <w:rFonts w:ascii="仿宋_GB2312" w:hAnsi="仿宋_GB2312" w:eastAsia="仿宋_GB2312"/>
          <w:b w:val="0"/>
          <w:sz w:val="32"/>
        </w:rPr>
        <w:t>比上年增加0.17万元，增长8.33%，主要原因是：本年因业务需求，增加公务接待工作，导致公务接待费较上年增加。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公务用车购置及运行维护费支出2.00万元，占90.50%，比上年增加0.00万元，增长0.00%，主要原因是：我单位公务用车运行维护费与上年一致无变化。</w:t>
      </w:r>
      <w:r>
        <w:rPr>
          <w:rFonts w:ascii="仿宋_GB2312" w:hAnsi="仿宋_GB2312" w:eastAsia="仿宋_GB2312"/>
          <w:b w:val="0"/>
          <w:sz w:val="32"/>
        </w:rPr>
        <w:t>公务接待费支出0.21万元，占9.50%，比上年增加0.17万元，增长425.00%，主要原因是：本年因业务需求，增加公务接待工作，导致公务接待费较上年增加。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公务用车的燃料费、修理费、保险费、过路费等。公务用车购置数0辆，公务用车保有量1辆。国有资产占用情况中固定资产车辆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公务接待费0.21万元，开支内容包括福建机关工委调研指导工作接待、机关党建会议县市工委参加公务接待，产生的就餐费。单位全年安排的国内公务接待3批次，17人次。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2.25万元，决算数2.21万元，预决算差异率-1.78%，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0.25万元，决算数0.21万元，预决算差异率-16.00%，主要原因是：严格落实中央八项规定精神，厉行节约，减少经费支出。</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直属机关工作委员会（行政单位和参照公务员法管理事业单位）机关运行经费支出23.50万元，比上年减少9.31万元，下降28.38%，主要原因是：严格控制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2024年度政府采购支出总额63.95万元，其中：政府采购货物支出19.30万元、政府采购工程支出0.00万元、政府采购服务支出44.65万元。</w:t>
      </w:r>
    </w:p>
    <w:p>
      <w:pPr>
        <w:spacing w:line="580" w:lineRule="exact"/>
        <w:ind w:firstLine="640"/>
        <w:jc w:val="both"/>
      </w:pPr>
      <w:r>
        <w:rPr>
          <w:rFonts w:ascii="仿宋_GB2312" w:hAnsi="仿宋_GB2312" w:eastAsia="仿宋_GB2312"/>
          <w:b w:val="0"/>
          <w:sz w:val="32"/>
        </w:rPr>
        <w:t>授予中小企业合同金额63.95万元，占政府采购支出总额的100.00%，其中：授予小微企业合同金额63.95万元，占政府采购支出总额的100.00%。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1辆，价值19.77万元，其中：副部（省）级及以上领导用车0辆、主要负责人用车0辆、机要通信用车0辆、应急保障用车0辆、执法执勤用车0辆、特种专业技术用车0辆、离退休干部服务用车0辆、其他用车1辆，其他用车主要是：核定公务用车一辆。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457.73万元，实际执行总额436.58万元；预算绩效评价项目4个，全年预算数87.27万元，全年执行数86.66万元。预算绩效管理取得的成效：一是规范了目标设置对专项资金在本年度产出的数量、质量、时效、成本、经济、社会效益及可持续影响等进行了细化，二是严过程加强绩效监控，对绩效监控发现的问题及时提醒督促和纠正，确保绩效目标的实现。发现的问题及原因：一是绩效管理理念不够深入重视不够，绩效管理主体责任不清工作落实欠缺，二是绩效目标管理有待提质指标量化还需细化明确绩效监管还需加强。下一步改进措施：一是2025年严格按批复预算执行，确保支出进度，严格执行中央八项规定和自治区十条规定，压减各类公 用经费支出；二是严格执行政府采购招投标，增强预算约束。具体附整体支出绩效自评表，项目支出绩效自评表和评价报告。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中共昌吉回族自治州委员会直属机关工作委员会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9.54</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369.81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402.75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402.75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394.81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457.73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436.58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2023年，州直机关党建工作要以习近平新时代中国特色社会主义思想为指导，深入学习贯彻党的二十大精神和习近平总书记在中央和国家机关党的建设工作会议上的重要讲话精神，完整准确贯彻新时代党的治疆方略，以全面贯彻落实党的二十大精神为主线，深入推进“让党中央放心、让人民群众满意的模范机关”建设，以高质量机关党建服务保障全方位推动高质量发展一、坚持把党的政治建设摆在首位，带头做到“两个维护”二、加强理论武装，持之以恒用党的创新理论凝心铸魂三、强化政治功能组织功能，推动机关基层党组织全面进步全面过硬四、坚持围绕中心服务大局，建设推进中国式现代化新疆实践的典范地州五、坚持严的基调正风肃纪反腐，持续营造风清气正的良好政治生态六、加强机关党建制度机制建设，全面推动机关党建提质增效。</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 年我单位全年预算数为457.73万元，全年执行数为436.58万元，总预算执行率为95.38%。2024 年我单位完成以下工作内容：1.指导监督91个单位党建工作；2. 完成45个模范机关创建工作；3.完成150个五个党支部建设；4.落实529人党员培训任务；5.发展党员90人；6.进行纪律教育2次；7.进行机关党建研究交流1次。通过以上工作的实施，坚持严的基调正风肃纪反腐，持续营造风清气正的良好政治生态，加强机关党建制度机制建设，全面推动机关党建提质增效</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党建工作指导监督</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模范机关创建工作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五个党支部建设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落实党员培训任务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&gt;=410人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=529人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认真完成发展党员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加强经常性纪律教育</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机关党建研究交流</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“汾水连天山”州直机关高质量党建保障高质量发展专题培训班</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中共昌吉回族自治州委员会直属机关工作委员会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中共昌吉回族自治州直属机关工作委员会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11.18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昌吉州2024年干部人才教育培训计划》安排组织州直机关干部34名赴山西省开展为期7天的干部教育培训班，本期培训班共计产生费用11.18万元，通过研讨交流、理论学习学习贯彻习近平法治思想，强化法制思维，提升机关干部法制素养；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组织州直机关干部34名赴山西省开展为期7天的干部教育培训班，本期培训班共计产生费用11.18万元，通过该项目的实施，提升机关干部法制素养；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ab/>
              <w:t>2024年11月30日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培训授课费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培训食宿费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提高思想政治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该项目组织有序，课程安排合理参加培训人员满意度高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丝路同源智惠闵昌吉州推进机关党建与业务深度融合专题培训班</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中共昌吉回族自治州委员会直属机关工作委员会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中共昌吉回族自治州直属机关工作委员会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昌吉州2024年干部人才教育培训计划》安排组织州直机关干部38名赴福建省开展为期7天的干部教育培训班。本期培训班共计产生费用15.94万元，通过研讨交流、理论学习学习贯彻习近平法治思想，强化法制思维，提升机关干部法制素养；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组织州直机关干部38名赴福建省开展为期7天的干部教育培训班培训保障率100%。本期培训班共计产生费用15.94万元，通过研讨交流、理论学习学习贯彻习近平法治思想，强化法制思维，提升机关干部法制素养；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2023年8月30日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培训授课费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培训食宿费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提高思想政治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该项目组织有序，课程安排合理参加培训人员满意度高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人才交流经费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中共昌吉回族自治州委员会直属机关工作委员会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中共昌吉回族自治州直属机关工作委员会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91.29%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7.82</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2024年该项目计划保障1位外出交流人员，人员保障覆盖率达到100%，资金拨付及时率达到100%。通过该项目的实施，推动本领域优势互补、深入合作。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截止2024年12月31日，该项目实际完成资金支出6.39万元，2024年该项目计划保障1位外出交流人员，人员保障覆盖率达到100%，资金拨付及时率达到100%。通过该项目的实施，推动本领域优势互补、深入合作。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保障外出交流人数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人员保障覆盖率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=6.39万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91.29%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7.82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预算支出不精准没有合理运用该项资金。</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推动本领域优势互补、深入合作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显著推动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95.64分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机关业务经费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中共昌吉回族自治州委员会直属机关工作委员会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中共昌吉回族自治州直属机关工作委员会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加强州机关党的思想政治建设、组织建设、作风建设、制度建设和反腐倡廉建设，做好州机关其他党建工作，2024年计划完成对直属党支部调研考察不少于2轮次，覆盖率大于95%，党员教育培训工作不少于6场次，出勤率大于95%，开展业务工作不少于10次，准确率大于95%，12个月完成调研考察党员教育培训，培训支出范围控制到31.58万元，运转经费控制范围21.57万元。提高党员干部能力素质，更好为群众服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为加强州机关党的思想政治建设、组织建设、作风建设、制度建设和反腐倡廉建设，做好州机关其他党建工作，2024年计划完成对直属党支部调研考察2轮次，覆盖率实现95%，党员教育培训工作6场次，出勤率达到95%，开展业务工作10次，准确率达到95%，12个月完成调研考察党员教育培训，培训支出范围控制到31.58万元，运转经费控制范围21.57万元。提高党员干部能力素质，更好为群众服务</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调研考察次数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党员教育培训次数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开展业务工作次数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调研考察覆盖率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教育培训出勤率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开展业务工作准确率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调研考察按时完成率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调研考察完成时效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党员教育培训完成率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教育培训支出控制范围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&lt;=31.58万元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运转经费控制范围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&lt;=21.57万元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=21.57万元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提升社会稳定性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培训提高党员干部能力素质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党员教育培训人员满意度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