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中共昌吉回族自治州委员会政法委员会2024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bookmarkStart w:id="0" w:name="_GoBack"/>
      <w:bookmarkEnd w:id="0"/>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r>
        <w:br w:type="page"/>
      </w:r>
    </w:p>
    <w:p>
      <w:pPr>
        <w:spacing w:line="640" w:lineRule="exact"/>
        <w:jc w:val="center"/>
        <w:outlineLvl w:val="1"/>
      </w:pPr>
      <w:r>
        <w:rPr>
          <w:rFonts w:ascii="黑体" w:hAnsi="黑体" w:eastAsia="黑体"/>
          <w:sz w:val="32"/>
        </w:rPr>
        <w:t>第一部分 单位概况</w:t>
      </w:r>
    </w:p>
    <w:p>
      <w:pPr>
        <w:spacing w:line="640" w:lineRule="exact"/>
        <w:ind w:firstLine="640"/>
        <w:jc w:val="both"/>
        <w:outlineLvl w:val="2"/>
      </w:pPr>
      <w:r>
        <w:rPr>
          <w:rFonts w:ascii="黑体" w:hAnsi="黑体" w:eastAsia="黑体"/>
          <w:sz w:val="32"/>
        </w:rPr>
        <w:t>一、主要职能</w:t>
      </w:r>
    </w:p>
    <w:p>
      <w:pPr>
        <w:spacing w:line="580" w:lineRule="exact"/>
        <w:ind w:firstLine="640"/>
        <w:jc w:val="both"/>
      </w:pPr>
      <w:r>
        <w:rPr>
          <w:rFonts w:ascii="仿宋_GB2312" w:hAnsi="仿宋_GB2312" w:eastAsia="仿宋_GB2312"/>
          <w:sz w:val="32"/>
        </w:rPr>
        <w:t>本单位主要职能SM不予公开。</w:t>
      </w:r>
    </w:p>
    <w:p>
      <w:pPr>
        <w:spacing w:line="640" w:lineRule="exact"/>
        <w:ind w:firstLine="640"/>
        <w:jc w:val="both"/>
        <w:outlineLvl w:val="2"/>
      </w:pPr>
      <w:r>
        <w:rPr>
          <w:rFonts w:ascii="黑体" w:hAnsi="黑体" w:eastAsia="黑体"/>
          <w:sz w:val="32"/>
        </w:rPr>
        <w:t>二、机构设置及人员情况</w:t>
      </w:r>
    </w:p>
    <w:p>
      <w:pPr>
        <w:spacing w:line="580" w:lineRule="exact"/>
        <w:ind w:firstLine="640"/>
        <w:jc w:val="both"/>
      </w:pPr>
      <w:r>
        <w:rPr>
          <w:rFonts w:ascii="仿宋_GB2312" w:hAnsi="仿宋_GB2312" w:eastAsia="仿宋_GB2312"/>
          <w:sz w:val="32"/>
        </w:rPr>
        <w:t>中共昌吉回族自治州委员会政法委员会2024年度，实有人数68人，其中：在职人员48人，减少1人；离休人员0人，增加0人；退休人员20人,增加2人。</w:t>
      </w:r>
    </w:p>
    <w:p>
      <w:pPr>
        <w:spacing w:line="580" w:lineRule="exact"/>
        <w:ind w:firstLine="640"/>
        <w:jc w:val="both"/>
      </w:pPr>
      <w:r>
        <w:rPr>
          <w:rFonts w:ascii="仿宋_GB2312" w:hAnsi="仿宋_GB2312" w:eastAsia="仿宋_GB2312"/>
          <w:sz w:val="32"/>
        </w:rPr>
        <w:t>中共昌吉回族自治州委员会政法委员会无下属预算单位，下设1个科室，分别是：本单位机构设置及人员情况SM不予公开。</w:t>
      </w:r>
    </w:p>
    <w:p>
      <w:r>
        <w:br w:type="page"/>
      </w:r>
    </w:p>
    <w:p>
      <w:pPr>
        <w:spacing w:line="240" w:lineRule="auto"/>
        <w:jc w:val="center"/>
        <w:outlineLvl w:val="1"/>
      </w:pPr>
      <w:r>
        <w:rPr>
          <w:rFonts w:ascii="黑体" w:hAnsi="黑体" w:eastAsia="黑体"/>
          <w:sz w:val="32"/>
        </w:rPr>
        <w:t>第二部分 部门决算情况说明</w:t>
      </w:r>
    </w:p>
    <w:p>
      <w:pPr>
        <w:spacing w:line="640" w:lineRule="exact"/>
        <w:ind w:firstLine="640"/>
        <w:jc w:val="both"/>
        <w:outlineLvl w:val="2"/>
      </w:pPr>
      <w:r>
        <w:rPr>
          <w:rFonts w:ascii="黑体" w:hAnsi="黑体" w:eastAsia="黑体"/>
          <w:sz w:val="32"/>
        </w:rPr>
        <w:t>一、收入支出决算总体情况说明</w:t>
      </w:r>
    </w:p>
    <w:p>
      <w:pPr>
        <w:spacing w:line="580" w:lineRule="exact"/>
        <w:ind w:firstLine="640"/>
        <w:jc w:val="both"/>
      </w:pPr>
      <w:r>
        <w:rPr>
          <w:rFonts w:ascii="仿宋_GB2312" w:hAnsi="仿宋_GB2312" w:eastAsia="仿宋_GB2312"/>
          <w:b/>
          <w:sz w:val="32"/>
        </w:rPr>
        <w:t>2024年度收入总计3,257.13万元，</w:t>
      </w:r>
      <w:r>
        <w:rPr>
          <w:rFonts w:ascii="仿宋_GB2312" w:hAnsi="仿宋_GB2312" w:eastAsia="仿宋_GB2312"/>
          <w:b w:val="0"/>
          <w:sz w:val="32"/>
        </w:rPr>
        <w:t>其中：本年收入合计2,828.43万元，使用非财政拨款结余（含专用结余）0.00万元，年初结转和结余428.70万元。</w:t>
      </w:r>
    </w:p>
    <w:p>
      <w:pPr>
        <w:spacing w:line="580" w:lineRule="exact"/>
        <w:ind w:firstLine="640"/>
        <w:jc w:val="both"/>
      </w:pPr>
      <w:r>
        <w:rPr>
          <w:rFonts w:ascii="仿宋_GB2312" w:hAnsi="仿宋_GB2312" w:eastAsia="仿宋_GB2312"/>
          <w:b/>
          <w:sz w:val="32"/>
        </w:rPr>
        <w:t>2024年度支出总计3,257.13万元，</w:t>
      </w:r>
      <w:r>
        <w:rPr>
          <w:rFonts w:ascii="仿宋_GB2312" w:hAnsi="仿宋_GB2312" w:eastAsia="仿宋_GB2312"/>
          <w:b w:val="0"/>
          <w:sz w:val="32"/>
        </w:rPr>
        <w:t>其中：本年支出合计2,828.43万元，结余分配0.00万元，年末结转和结余428.70万元。</w:t>
      </w:r>
    </w:p>
    <w:p>
      <w:pPr>
        <w:spacing w:line="580" w:lineRule="exact"/>
        <w:ind w:firstLine="640"/>
        <w:jc w:val="both"/>
      </w:pPr>
      <w:r>
        <w:rPr>
          <w:rFonts w:ascii="仿宋_GB2312" w:hAnsi="仿宋_GB2312" w:eastAsia="仿宋_GB2312"/>
          <w:b w:val="0"/>
          <w:sz w:val="32"/>
        </w:rPr>
        <w:t>收入支出总体与上年相比，</w:t>
      </w:r>
      <w:r>
        <w:rPr>
          <w:rFonts w:ascii="仿宋_GB2312" w:hAnsi="仿宋_GB2312" w:eastAsia="仿宋_GB2312"/>
          <w:b w:val="0"/>
          <w:sz w:val="32"/>
        </w:rPr>
        <w:t>增加762.79万元，增长30.58%，主要原因是：本年增加2024年度“雪亮工程租赁费”；本年在职人员工资调增，社保、公积金基数调增，人员经费增加。</w:t>
      </w:r>
    </w:p>
    <w:p>
      <w:pPr>
        <w:spacing w:line="640" w:lineRule="exact"/>
        <w:ind w:firstLine="640"/>
        <w:jc w:val="both"/>
        <w:outlineLvl w:val="2"/>
      </w:pPr>
      <w:r>
        <w:rPr>
          <w:rFonts w:ascii="黑体" w:hAnsi="黑体" w:eastAsia="黑体"/>
          <w:sz w:val="32"/>
        </w:rPr>
        <w:t>二、收入决算情况说明</w:t>
      </w:r>
    </w:p>
    <w:p>
      <w:pPr>
        <w:spacing w:line="580" w:lineRule="exact"/>
        <w:ind w:firstLine="640"/>
        <w:jc w:val="both"/>
      </w:pPr>
      <w:r>
        <w:rPr>
          <w:rFonts w:ascii="仿宋_GB2312" w:hAnsi="仿宋_GB2312" w:eastAsia="仿宋_GB2312"/>
          <w:b/>
          <w:sz w:val="32"/>
        </w:rPr>
        <w:t>本年收入2,828.43万元，</w:t>
      </w:r>
      <w:r>
        <w:rPr>
          <w:rFonts w:ascii="仿宋_GB2312" w:hAnsi="仿宋_GB2312" w:eastAsia="仿宋_GB2312"/>
          <w:b w:val="0"/>
          <w:sz w:val="32"/>
        </w:rPr>
        <w:t>其中：财政拨款收入2,809.53万元，占99.33%；上级补助收入0.00万元，占0.00%；事业收入0.00万元，占0.00%；经营收入0.00万元，占0.00%；附属单位上缴收入0.00万元，占0.00%；其他收入18.90万元，占0.67%。</w:t>
      </w:r>
    </w:p>
    <w:p>
      <w:pPr>
        <w:spacing w:line="640" w:lineRule="exact"/>
        <w:ind w:firstLine="640"/>
        <w:jc w:val="both"/>
        <w:outlineLvl w:val="2"/>
      </w:pPr>
      <w:r>
        <w:rPr>
          <w:rFonts w:ascii="黑体" w:hAnsi="黑体" w:eastAsia="黑体"/>
          <w:sz w:val="32"/>
        </w:rPr>
        <w:t>三、支出决算情况说明</w:t>
      </w:r>
    </w:p>
    <w:p>
      <w:pPr>
        <w:spacing w:line="580" w:lineRule="exact"/>
        <w:ind w:firstLine="640"/>
        <w:jc w:val="both"/>
      </w:pPr>
      <w:r>
        <w:rPr>
          <w:rFonts w:ascii="仿宋_GB2312" w:hAnsi="仿宋_GB2312" w:eastAsia="仿宋_GB2312"/>
          <w:b/>
          <w:sz w:val="32"/>
        </w:rPr>
        <w:t>本年支出2,828.43万元，</w:t>
      </w:r>
      <w:r>
        <w:rPr>
          <w:rFonts w:ascii="仿宋_GB2312" w:hAnsi="仿宋_GB2312" w:eastAsia="仿宋_GB2312"/>
          <w:b w:val="0"/>
          <w:sz w:val="32"/>
        </w:rPr>
        <w:t>其中：基本支出1,081.51万元，占38.24%；项目支出1,746.93万元，占61.76%；上缴上级支出0.00万元，占0.00%；经营支出0.00万元，占0.00%；对附属单位补助支出0.00万元，占0.00%。</w:t>
      </w:r>
    </w:p>
    <w:p>
      <w:pPr>
        <w:spacing w:line="640" w:lineRule="exact"/>
        <w:ind w:firstLine="640"/>
        <w:jc w:val="both"/>
        <w:outlineLvl w:val="2"/>
      </w:pPr>
      <w:r>
        <w:rPr>
          <w:rFonts w:ascii="黑体" w:hAnsi="黑体" w:eastAsia="黑体"/>
          <w:sz w:val="32"/>
        </w:rPr>
        <w:t>四、财政拨款收入支出决算总体情况说明</w:t>
      </w:r>
    </w:p>
    <w:p>
      <w:pPr>
        <w:spacing w:line="580" w:lineRule="exact"/>
        <w:ind w:firstLine="640"/>
        <w:jc w:val="both"/>
      </w:pPr>
      <w:r>
        <w:rPr>
          <w:rFonts w:ascii="仿宋_GB2312" w:hAnsi="仿宋_GB2312" w:eastAsia="仿宋_GB2312"/>
          <w:b/>
          <w:sz w:val="32"/>
        </w:rPr>
        <w:t>2024年度财政拨款收入总计2,809.53万元，</w:t>
      </w:r>
      <w:r>
        <w:rPr>
          <w:rFonts w:ascii="仿宋_GB2312" w:hAnsi="仿宋_GB2312" w:eastAsia="仿宋_GB2312"/>
          <w:b w:val="0"/>
          <w:sz w:val="32"/>
        </w:rPr>
        <w:t>其中：年初财政拨款结转和结余0.00万元，本年财政拨款收入2,809.53万元。</w:t>
      </w:r>
      <w:r>
        <w:rPr>
          <w:rFonts w:ascii="仿宋_GB2312" w:hAnsi="仿宋_GB2312" w:eastAsia="仿宋_GB2312"/>
          <w:b/>
          <w:sz w:val="32"/>
        </w:rPr>
        <w:t>财政拨款支出总计2,809.53万元，</w:t>
      </w:r>
      <w:r>
        <w:rPr>
          <w:rFonts w:ascii="仿宋_GB2312" w:hAnsi="仿宋_GB2312" w:eastAsia="仿宋_GB2312"/>
          <w:b w:val="0"/>
          <w:sz w:val="32"/>
        </w:rPr>
        <w:t>其中：年末财政拨款结转和结余0.00万元，本年财政拨款支出2,809.53万元。</w:t>
      </w:r>
    </w:p>
    <w:p>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增加891.23万元，增长46.46%，主要原因是：本年增加2024年度“雪亮工程租赁费”；本年在职人员工资调增，社保、公积金基数调增，人员经费增加。</w:t>
      </w:r>
      <w:r>
        <w:rPr>
          <w:rFonts w:ascii="仿宋_GB2312" w:hAnsi="仿宋_GB2312" w:eastAsia="仿宋_GB2312"/>
          <w:b/>
          <w:sz w:val="32"/>
        </w:rPr>
        <w:t>与年初预算相比，</w:t>
      </w:r>
      <w:r>
        <w:rPr>
          <w:rFonts w:ascii="仿宋_GB2312" w:hAnsi="仿宋_GB2312" w:eastAsia="仿宋_GB2312"/>
          <w:b w:val="0"/>
          <w:sz w:val="32"/>
        </w:rPr>
        <w:t>年初预算数2,234.71万元，决算数2,809.53万元，预决算差异率25.72%，主要原因是：年中追加“2023年度雪亮工程租赁费”项目，导致预决算存在差异。</w:t>
      </w:r>
    </w:p>
    <w:p>
      <w:pPr>
        <w:spacing w:line="640" w:lineRule="exact"/>
        <w:ind w:firstLine="640"/>
        <w:jc w:val="both"/>
        <w:outlineLvl w:val="2"/>
      </w:pPr>
      <w:r>
        <w:rPr>
          <w:rFonts w:ascii="黑体" w:hAnsi="黑体" w:eastAsia="黑体"/>
          <w:sz w:val="32"/>
        </w:rPr>
        <w:t>五、一般公共预算财政拨款支出决算情况说明</w:t>
      </w:r>
    </w:p>
    <w:p>
      <w:pPr>
        <w:spacing w:line="640" w:lineRule="exact"/>
        <w:ind w:firstLine="640"/>
        <w:jc w:val="both"/>
        <w:outlineLvl w:val="3"/>
      </w:pPr>
      <w:r>
        <w:rPr>
          <w:rFonts w:ascii="楷体_GB2312" w:hAnsi="楷体_GB2312" w:eastAsia="楷体_GB2312"/>
          <w:b/>
          <w:sz w:val="32"/>
        </w:rPr>
        <w:t>（一）一般公共预算财政拨款支出决算总体情况</w:t>
      </w:r>
    </w:p>
    <w:p>
      <w:pPr>
        <w:spacing w:line="580" w:lineRule="exact"/>
        <w:ind w:firstLine="640"/>
        <w:jc w:val="both"/>
      </w:pPr>
      <w:r>
        <w:rPr>
          <w:rFonts w:ascii="仿宋_GB2312" w:hAnsi="仿宋_GB2312" w:eastAsia="仿宋_GB2312"/>
          <w:b/>
          <w:sz w:val="32"/>
        </w:rPr>
        <w:t>2024年度一般公共预算财政拨款支出2,809.53万元，</w:t>
      </w:r>
      <w:r>
        <w:rPr>
          <w:rFonts w:ascii="仿宋_GB2312" w:hAnsi="仿宋_GB2312" w:eastAsia="仿宋_GB2312"/>
          <w:b w:val="0"/>
          <w:sz w:val="32"/>
        </w:rPr>
        <w:t>占本年支出合计的99.33%。</w:t>
      </w:r>
      <w:r>
        <w:rPr>
          <w:rFonts w:ascii="仿宋_GB2312" w:hAnsi="仿宋_GB2312" w:eastAsia="仿宋_GB2312"/>
          <w:b/>
          <w:sz w:val="32"/>
        </w:rPr>
        <w:t>与上年相比，</w:t>
      </w:r>
      <w:r>
        <w:rPr>
          <w:rFonts w:ascii="仿宋_GB2312" w:hAnsi="仿宋_GB2312" w:eastAsia="仿宋_GB2312"/>
          <w:b w:val="0"/>
          <w:sz w:val="32"/>
        </w:rPr>
        <w:t>增加891.23万元，增长46.46%，主要原因是：本年增加2024年度“雪亮工程租赁费”；本年在职人员工资调增，社保、公积金基数调增，人员经费增加。</w:t>
      </w:r>
      <w:r>
        <w:rPr>
          <w:rFonts w:ascii="仿宋_GB2312" w:hAnsi="仿宋_GB2312" w:eastAsia="仿宋_GB2312"/>
          <w:b/>
          <w:sz w:val="32"/>
        </w:rPr>
        <w:t>与年初预算相比,</w:t>
      </w:r>
      <w:r>
        <w:rPr>
          <w:rFonts w:ascii="仿宋_GB2312" w:hAnsi="仿宋_GB2312" w:eastAsia="仿宋_GB2312"/>
          <w:b w:val="0"/>
          <w:sz w:val="32"/>
        </w:rPr>
        <w:t>年初预算数2,234.71万元，决算数2,809.53万元，预决算差异率25.72%，主要原因是：年中追加“2023年度雪亮工程租赁费”项目，导致预决算存在差异。</w:t>
      </w:r>
    </w:p>
    <w:p>
      <w:pPr>
        <w:spacing w:line="640" w:lineRule="exact"/>
        <w:ind w:firstLine="640"/>
        <w:jc w:val="both"/>
        <w:outlineLvl w:val="3"/>
      </w:pPr>
      <w:r>
        <w:rPr>
          <w:rFonts w:ascii="楷体_GB2312" w:hAnsi="楷体_GB2312" w:eastAsia="楷体_GB2312"/>
          <w:b/>
          <w:sz w:val="32"/>
        </w:rPr>
        <w:t>（二）一般公共预算财政拨款支出决算结构情况</w:t>
      </w:r>
    </w:p>
    <w:p>
      <w:pPr>
        <w:spacing w:line="580" w:lineRule="exact"/>
        <w:ind w:firstLine="640"/>
        <w:jc w:val="both"/>
      </w:pPr>
      <w:r>
        <w:rPr>
          <w:rFonts w:ascii="仿宋_GB2312" w:hAnsi="仿宋_GB2312" w:eastAsia="仿宋_GB2312"/>
          <w:b w:val="0"/>
          <w:sz w:val="32"/>
        </w:rPr>
        <w:t>1.一般公共服务支出(类)2,523.63万元,占89.82%。</w:t>
      </w:r>
    </w:p>
    <w:p>
      <w:pPr>
        <w:spacing w:line="580" w:lineRule="exact"/>
        <w:ind w:firstLine="640"/>
        <w:jc w:val="both"/>
      </w:pPr>
      <w:r>
        <w:rPr>
          <w:rFonts w:ascii="仿宋_GB2312" w:hAnsi="仿宋_GB2312" w:eastAsia="仿宋_GB2312"/>
          <w:b w:val="0"/>
          <w:sz w:val="32"/>
        </w:rPr>
        <w:t>2.社会保障和就业支出(类)165.80万元,占5.90%。</w:t>
      </w:r>
    </w:p>
    <w:p>
      <w:pPr>
        <w:spacing w:line="580" w:lineRule="exact"/>
        <w:ind w:firstLine="640"/>
        <w:jc w:val="both"/>
      </w:pPr>
      <w:r>
        <w:rPr>
          <w:rFonts w:ascii="仿宋_GB2312" w:hAnsi="仿宋_GB2312" w:eastAsia="仿宋_GB2312"/>
          <w:b w:val="0"/>
          <w:sz w:val="32"/>
        </w:rPr>
        <w:t>3.卫生健康支出(类)49.22万元,占1.75%。</w:t>
      </w:r>
    </w:p>
    <w:p>
      <w:pPr>
        <w:spacing w:line="580" w:lineRule="exact"/>
        <w:ind w:firstLine="640"/>
        <w:jc w:val="both"/>
      </w:pPr>
      <w:r>
        <w:rPr>
          <w:rFonts w:ascii="仿宋_GB2312" w:hAnsi="仿宋_GB2312" w:eastAsia="仿宋_GB2312"/>
          <w:b w:val="0"/>
          <w:sz w:val="32"/>
        </w:rPr>
        <w:t>4.住房保障支出(类)70.88万元,占2.52%。</w:t>
      </w:r>
    </w:p>
    <w:p>
      <w:pPr>
        <w:spacing w:line="640" w:lineRule="exact"/>
        <w:ind w:firstLine="640"/>
        <w:jc w:val="both"/>
        <w:outlineLvl w:val="3"/>
      </w:pPr>
      <w:r>
        <w:rPr>
          <w:rFonts w:ascii="楷体_GB2312" w:hAnsi="楷体_GB2312" w:eastAsia="楷体_GB2312"/>
          <w:b/>
          <w:sz w:val="32"/>
        </w:rPr>
        <w:t>（三）一般公共预算财政拨款支出决算具体情况</w:t>
      </w:r>
    </w:p>
    <w:p>
      <w:pPr>
        <w:spacing w:line="580" w:lineRule="exact"/>
        <w:ind w:firstLine="640"/>
        <w:jc w:val="both"/>
      </w:pPr>
      <w:r>
        <w:rPr>
          <w:rFonts w:ascii="仿宋_GB2312" w:hAnsi="仿宋_GB2312" w:eastAsia="仿宋_GB2312"/>
          <w:b w:val="0"/>
          <w:sz w:val="32"/>
        </w:rPr>
        <w:t>1.一般公共服务支出(类)组织事务(款)其他组织事务支出(项):支出决算数为2.50万元，比上年决算增加2.50万元，增长100.00%,主要原因是：本年增加州机关工委对创建的五好党支部给予奖励经费，用于单位党建活动支出。</w:t>
      </w:r>
    </w:p>
    <w:p>
      <w:pPr>
        <w:spacing w:line="580" w:lineRule="exact"/>
        <w:ind w:firstLine="640"/>
        <w:jc w:val="both"/>
      </w:pPr>
      <w:r>
        <w:rPr>
          <w:rFonts w:ascii="仿宋_GB2312" w:hAnsi="仿宋_GB2312" w:eastAsia="仿宋_GB2312"/>
          <w:b w:val="0"/>
          <w:sz w:val="32"/>
        </w:rPr>
        <w:t>2.一般公共服务支出(类)其他共产党事务支出(款)行政运行(项):支出决算数为507.58万元，比上年决算增加6.05万元，增长1.21%,主要原因是：本年在职人员工资调增，导致相关人员经费较上年有所增加。</w:t>
      </w:r>
    </w:p>
    <w:p>
      <w:pPr>
        <w:spacing w:line="580" w:lineRule="exact"/>
        <w:ind w:firstLine="640"/>
        <w:jc w:val="both"/>
      </w:pPr>
      <w:r>
        <w:rPr>
          <w:rFonts w:ascii="仿宋_GB2312" w:hAnsi="仿宋_GB2312" w:eastAsia="仿宋_GB2312"/>
          <w:b w:val="0"/>
          <w:sz w:val="32"/>
        </w:rPr>
        <w:t>3.一般公共服务支出(类)其他共产党事务支出(款)一般行政管理事务(项):支出决算数为1,725.53万元，比上年决算增加1,070.98万元，增长163.62%,主要原因是：本年度增加2024年度“雪亮工程租赁费”。</w:t>
      </w:r>
    </w:p>
    <w:p>
      <w:pPr>
        <w:spacing w:line="580" w:lineRule="exact"/>
        <w:ind w:firstLine="640"/>
        <w:jc w:val="both"/>
      </w:pPr>
      <w:r>
        <w:rPr>
          <w:rFonts w:ascii="仿宋_GB2312" w:hAnsi="仿宋_GB2312" w:eastAsia="仿宋_GB2312"/>
          <w:b w:val="0"/>
          <w:sz w:val="32"/>
        </w:rPr>
        <w:t>4.一般公共服务支出(类)其他共产党事务支出(款)事业运行(项):支出决算数为288.03万元，比上年决算增加6.85万元，增长2.44%,主要原因是：本年在职人员工资调增，导致相关人员经费较上年有所增加。</w:t>
      </w:r>
    </w:p>
    <w:p>
      <w:pPr>
        <w:spacing w:line="580" w:lineRule="exact"/>
        <w:ind w:firstLine="640"/>
        <w:jc w:val="both"/>
      </w:pPr>
      <w:r>
        <w:rPr>
          <w:rFonts w:ascii="仿宋_GB2312" w:hAnsi="仿宋_GB2312" w:eastAsia="仿宋_GB2312"/>
          <w:b w:val="0"/>
          <w:sz w:val="32"/>
        </w:rPr>
        <w:t>5.公共安全支出(类)其他公共安全支出(款)其他公共安全支出(项):支出决算数为0.00万元，比上年决算减少201.40万元，下降100.00%,主要原因是：本年未安排专项业务经费。</w:t>
      </w:r>
    </w:p>
    <w:p>
      <w:pPr>
        <w:spacing w:line="580" w:lineRule="exact"/>
        <w:ind w:firstLine="640"/>
        <w:jc w:val="both"/>
      </w:pPr>
      <w:r>
        <w:rPr>
          <w:rFonts w:ascii="仿宋_GB2312" w:hAnsi="仿宋_GB2312" w:eastAsia="仿宋_GB2312"/>
          <w:b w:val="0"/>
          <w:sz w:val="32"/>
        </w:rPr>
        <w:t>6.社会保障和就业支出(类)行政事业单位养老支出(款)行政单位离退休(项):支出决算数为12.96万元，比上年决算减少8.52万元，下降39.66%,主要原因是：本年在职转退休人员，退休人员去世，职级不同，导致行政单位离退休较上年减少。</w:t>
      </w:r>
    </w:p>
    <w:p>
      <w:pPr>
        <w:spacing w:line="580" w:lineRule="exact"/>
        <w:ind w:firstLine="640"/>
        <w:jc w:val="both"/>
      </w:pPr>
      <w:r>
        <w:rPr>
          <w:rFonts w:ascii="仿宋_GB2312" w:hAnsi="仿宋_GB2312" w:eastAsia="仿宋_GB2312"/>
          <w:b w:val="0"/>
          <w:sz w:val="32"/>
        </w:rPr>
        <w:t>7.社会保障和就业支出(类)行政事业单位养老支出(款)机关事业单位基本养老保险缴费支出(项):支出决算数为90.79万元，比上年决算增加6.85万元，增长8.16%,主要原因是：本年在职人员工资基数调增，养老缴费基数上涨，相应支出增加。</w:t>
      </w:r>
    </w:p>
    <w:p>
      <w:pPr>
        <w:spacing w:line="580" w:lineRule="exact"/>
        <w:ind w:firstLine="640"/>
        <w:jc w:val="both"/>
      </w:pPr>
      <w:r>
        <w:rPr>
          <w:rFonts w:ascii="仿宋_GB2312" w:hAnsi="仿宋_GB2312" w:eastAsia="仿宋_GB2312"/>
          <w:b w:val="0"/>
          <w:sz w:val="32"/>
        </w:rPr>
        <w:t>8.社会保障和就业支出(类)行政事业单位养老支出(款)机关事业单位职业年金缴费支出(项):支出决算数为62.06万元，比上年决算增加20.09万元，增长47.87%,主要原因是：本年新增退休人员，职业年金单位部份资金坐实，故缴费支出增加。</w:t>
      </w:r>
    </w:p>
    <w:p>
      <w:pPr>
        <w:spacing w:line="580" w:lineRule="exact"/>
        <w:ind w:firstLine="640"/>
        <w:jc w:val="both"/>
      </w:pPr>
      <w:r>
        <w:rPr>
          <w:rFonts w:ascii="仿宋_GB2312" w:hAnsi="仿宋_GB2312" w:eastAsia="仿宋_GB2312"/>
          <w:b w:val="0"/>
          <w:sz w:val="32"/>
        </w:rPr>
        <w:t>9.卫生健康支出(类)行政事业单位医疗(款)行政单位医疗(项):支出决算数为21.05万元，比上年决算减少1.66万元，下降7.31%,主要原因是：本年在职人员减少，行政单位医疗较上年减少。</w:t>
      </w:r>
    </w:p>
    <w:p>
      <w:pPr>
        <w:spacing w:line="580" w:lineRule="exact"/>
        <w:ind w:firstLine="640"/>
        <w:jc w:val="both"/>
      </w:pPr>
      <w:r>
        <w:rPr>
          <w:rFonts w:ascii="仿宋_GB2312" w:hAnsi="仿宋_GB2312" w:eastAsia="仿宋_GB2312"/>
          <w:b w:val="0"/>
          <w:sz w:val="32"/>
        </w:rPr>
        <w:t>10.卫生健康支出(类)行政事业单位医疗(款)事业单位医疗(项):支出决算数为24.96万元，比上年决算增加5.70万元，增长29.60%,主要原因是：本年在职人员工资基数调增，医疗缴费基数上涨，相应支出增加。</w:t>
      </w:r>
    </w:p>
    <w:p>
      <w:pPr>
        <w:spacing w:line="580" w:lineRule="exact"/>
        <w:ind w:firstLine="640"/>
        <w:jc w:val="both"/>
      </w:pPr>
      <w:r>
        <w:rPr>
          <w:rFonts w:ascii="仿宋_GB2312" w:hAnsi="仿宋_GB2312" w:eastAsia="仿宋_GB2312"/>
          <w:b w:val="0"/>
          <w:sz w:val="32"/>
        </w:rPr>
        <w:t>11.卫生健康支出(类)行政事业单位医疗(款)公务员医疗补助(项):支出决算数为2.86万元，比上年决算增加0.27万元，增长10.42%,主要原因是：本年在职人员工资基数调增，医疗缴费基数上涨，相应支出增加。</w:t>
      </w:r>
    </w:p>
    <w:p>
      <w:pPr>
        <w:spacing w:line="580" w:lineRule="exact"/>
        <w:ind w:firstLine="640"/>
        <w:jc w:val="both"/>
      </w:pPr>
      <w:r>
        <w:rPr>
          <w:rFonts w:ascii="仿宋_GB2312" w:hAnsi="仿宋_GB2312" w:eastAsia="仿宋_GB2312"/>
          <w:b w:val="0"/>
          <w:sz w:val="32"/>
        </w:rPr>
        <w:t>12.卫生健康支出(类)行政事业单位医疗(款)其他行政事业单位医疗支出(项):支出决算数为0.36万元，比上年决算减少0.05万元，下降12.20%,主要原因是：本年在职人员减少，其他行政事业单位医疗支出较上年减少。</w:t>
      </w:r>
    </w:p>
    <w:p>
      <w:pPr>
        <w:spacing w:line="580" w:lineRule="exact"/>
        <w:ind w:firstLine="640"/>
        <w:jc w:val="both"/>
      </w:pPr>
      <w:r>
        <w:rPr>
          <w:rFonts w:ascii="仿宋_GB2312" w:hAnsi="仿宋_GB2312" w:eastAsia="仿宋_GB2312"/>
          <w:b w:val="0"/>
          <w:sz w:val="32"/>
        </w:rPr>
        <w:t>13.住房保障支出(类)住房改革支出(款)住房公积金(项):支出决算数为70.88万元，比上年决算增加5.59万元，增长8.56%,主要原因是：本年在职人员工资基数调增，公积金缴费基数上涨，相应支出增加。</w:t>
      </w:r>
    </w:p>
    <w:p>
      <w:pPr>
        <w:spacing w:line="580" w:lineRule="exact"/>
        <w:ind w:firstLine="640"/>
        <w:jc w:val="both"/>
      </w:pPr>
      <w:r>
        <w:rPr>
          <w:rFonts w:ascii="仿宋_GB2312" w:hAnsi="仿宋_GB2312" w:eastAsia="仿宋_GB2312"/>
          <w:b w:val="0"/>
          <w:sz w:val="32"/>
        </w:rPr>
        <w:t>14.其他支出(类)其他支出(款)其他支出(项):支出决算数为0.00万元，比上年决算减少22.00万元，下降100.00%,主要原因是：本年减少为民办实事工作经费。</w:t>
      </w:r>
    </w:p>
    <w:p>
      <w:pPr>
        <w:spacing w:line="640" w:lineRule="exact"/>
        <w:ind w:firstLine="640"/>
        <w:jc w:val="both"/>
        <w:outlineLvl w:val="2"/>
      </w:pPr>
      <w:r>
        <w:rPr>
          <w:rFonts w:ascii="黑体" w:hAnsi="黑体" w:eastAsia="黑体"/>
          <w:sz w:val="32"/>
        </w:rPr>
        <w:t>六、一般公共预算财政拨款基本支出决算情况说明</w:t>
      </w:r>
    </w:p>
    <w:p>
      <w:pPr>
        <w:spacing w:line="580" w:lineRule="exact"/>
        <w:ind w:firstLine="640"/>
        <w:jc w:val="both"/>
      </w:pPr>
      <w:r>
        <w:rPr>
          <w:rFonts w:ascii="仿宋_GB2312" w:hAnsi="仿宋_GB2312" w:eastAsia="仿宋_GB2312"/>
          <w:b w:val="0"/>
          <w:sz w:val="32"/>
        </w:rPr>
        <w:t>2024年度一般公共预算财政拨款基本支出1,081.51万元，其中：</w:t>
      </w:r>
      <w:r>
        <w:rPr>
          <w:rFonts w:ascii="仿宋_GB2312" w:hAnsi="仿宋_GB2312" w:eastAsia="仿宋_GB2312"/>
          <w:b/>
          <w:sz w:val="32"/>
        </w:rPr>
        <w:t>人员经费953.27万元，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其他工资福利支出、退休费、奖励金。</w:t>
      </w:r>
    </w:p>
    <w:p>
      <w:pPr>
        <w:spacing w:line="580" w:lineRule="exact"/>
        <w:ind w:firstLine="640"/>
        <w:jc w:val="both"/>
      </w:pPr>
      <w:r>
        <w:rPr>
          <w:rFonts w:ascii="仿宋_GB2312" w:hAnsi="仿宋_GB2312" w:eastAsia="仿宋_GB2312"/>
          <w:b/>
          <w:sz w:val="32"/>
        </w:rPr>
        <w:t>公用经费128.24万元，</w:t>
      </w:r>
      <w:r>
        <w:rPr>
          <w:rFonts w:ascii="仿宋_GB2312" w:hAnsi="仿宋_GB2312" w:eastAsia="仿宋_GB2312"/>
          <w:b w:val="0"/>
          <w:sz w:val="32"/>
        </w:rPr>
        <w:t>包括：办公费、印刷费、手续费、水费、电费、邮电费、取暖费、差旅费、培训费、公务接待费、劳务费、委托业务费、工会经费、福利费、公务用车运行维护费、其他交通费用、税金及附加费用、其他商品和服务支出。</w:t>
      </w:r>
    </w:p>
    <w:p>
      <w:pPr>
        <w:spacing w:line="640" w:lineRule="exact"/>
        <w:ind w:firstLine="640"/>
        <w:jc w:val="both"/>
        <w:outlineLvl w:val="2"/>
      </w:pPr>
      <w:r>
        <w:rPr>
          <w:rFonts w:ascii="黑体" w:hAnsi="黑体" w:eastAsia="黑体"/>
          <w:sz w:val="32"/>
        </w:rPr>
        <w:t>七、政府性基金预算财政拨款收入支出决算情况说明</w:t>
      </w:r>
    </w:p>
    <w:p>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pPr>
        <w:spacing w:line="640" w:lineRule="exact"/>
        <w:ind w:firstLine="640"/>
        <w:jc w:val="both"/>
        <w:outlineLvl w:val="2"/>
      </w:pPr>
      <w:r>
        <w:rPr>
          <w:rFonts w:ascii="黑体" w:hAnsi="黑体" w:eastAsia="黑体"/>
          <w:sz w:val="32"/>
        </w:rPr>
        <w:t>八、国有资本经营预算财政拨款收入支出决算情况说明</w:t>
      </w:r>
    </w:p>
    <w:p>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pPr>
        <w:spacing w:line="640" w:lineRule="exact"/>
        <w:ind w:firstLine="640"/>
        <w:jc w:val="both"/>
        <w:outlineLvl w:val="2"/>
      </w:pPr>
      <w:r>
        <w:rPr>
          <w:rFonts w:ascii="黑体" w:hAnsi="黑体" w:eastAsia="黑体"/>
          <w:sz w:val="32"/>
        </w:rPr>
        <w:t>九、财政拨款“三公”经费支出决算情况说明</w:t>
      </w:r>
    </w:p>
    <w:p>
      <w:pPr>
        <w:spacing w:line="580" w:lineRule="exact"/>
        <w:ind w:firstLine="640"/>
        <w:jc w:val="both"/>
      </w:pPr>
      <w:r>
        <w:rPr>
          <w:rFonts w:ascii="仿宋_GB2312" w:hAnsi="仿宋_GB2312" w:eastAsia="仿宋_GB2312"/>
          <w:b/>
          <w:sz w:val="32"/>
        </w:rPr>
        <w:t>2024年度财政拨款“三公”经费支出18.23万元，</w:t>
      </w:r>
      <w:r>
        <w:rPr>
          <w:rFonts w:ascii="仿宋_GB2312" w:hAnsi="仿宋_GB2312" w:eastAsia="仿宋_GB2312"/>
          <w:b w:val="0"/>
          <w:sz w:val="32"/>
        </w:rPr>
        <w:t>比上年增加0.01万元，增长0.05%，主要原因是：本年度接待人次较上年增加，导致公务接待费较上年增加。</w:t>
      </w:r>
      <w:r>
        <w:rPr>
          <w:rFonts w:ascii="仿宋_GB2312" w:hAnsi="仿宋_GB2312" w:eastAsia="仿宋_GB2312"/>
          <w:b w:val="0"/>
          <w:sz w:val="32"/>
        </w:rPr>
        <w:t>其中：因公出国（境）费支出0.00万元，占0.00%，比上年增加0.00万元，增长0.00%，主要原因是：2023年与2024年均未安排因公出国（境）费支出。</w:t>
      </w:r>
      <w:r>
        <w:rPr>
          <w:rFonts w:ascii="仿宋_GB2312" w:hAnsi="仿宋_GB2312" w:eastAsia="仿宋_GB2312"/>
          <w:b w:val="0"/>
          <w:sz w:val="32"/>
        </w:rPr>
        <w:t>公务用车购置及运行维护费支出18.00万元，占98.74%，比上年增加0.00万元，增长0.00%，主要原因是：我单位公务用车运行维护费与上年一致无变化。</w:t>
      </w:r>
      <w:r>
        <w:rPr>
          <w:rFonts w:ascii="仿宋_GB2312" w:hAnsi="仿宋_GB2312" w:eastAsia="仿宋_GB2312"/>
          <w:b w:val="0"/>
          <w:sz w:val="32"/>
        </w:rPr>
        <w:t>公务接待费支出0.23万元，占1.26%，比上年增加0.01万元，增长4.55%，主要原因是：本年度接待人次较上年增加，导致公务接待费较上年增加。</w:t>
      </w:r>
    </w:p>
    <w:p>
      <w:pPr>
        <w:spacing w:line="580" w:lineRule="exact"/>
        <w:ind w:firstLine="640"/>
        <w:jc w:val="both"/>
      </w:pPr>
      <w:r>
        <w:rPr>
          <w:rFonts w:ascii="仿宋_GB2312" w:hAnsi="仿宋_GB2312" w:eastAsia="仿宋_GB2312"/>
          <w:b/>
          <w:sz w:val="32"/>
        </w:rPr>
        <w:t>具体情况如下：</w:t>
      </w:r>
    </w:p>
    <w:p>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pPr>
        <w:spacing w:line="580" w:lineRule="exact"/>
        <w:ind w:firstLine="640"/>
        <w:jc w:val="both"/>
      </w:pPr>
      <w:r>
        <w:rPr>
          <w:rFonts w:ascii="仿宋_GB2312" w:hAnsi="仿宋_GB2312" w:eastAsia="仿宋_GB2312"/>
          <w:b w:val="0"/>
          <w:sz w:val="32"/>
        </w:rPr>
        <w:t>公务用车购置及运行维护费18.00万元，其中：公务用车购置费0.00万元，公务用车运行维护费18.00万元。公务用车运行维护费开支内容包括车辆加油费、维修费、保险费、审车费、过路费等。公务用车购置数0辆，公务用车保有量4辆。国有资产占用情况中固定资产车辆4辆，与公务用车保有量差异原因是：本单位固定资产车辆与公务用车保有量一致无差异。</w:t>
      </w:r>
    </w:p>
    <w:p>
      <w:pPr>
        <w:spacing w:line="580" w:lineRule="exact"/>
        <w:ind w:firstLine="640"/>
        <w:jc w:val="both"/>
      </w:pPr>
      <w:r>
        <w:rPr>
          <w:rFonts w:ascii="仿宋_GB2312" w:hAnsi="仿宋_GB2312" w:eastAsia="仿宋_GB2312"/>
          <w:b w:val="0"/>
          <w:sz w:val="32"/>
        </w:rPr>
        <w:t>公务接待费0.23万元，开支内容包括因年度接待上级单位领导督导检查产生的就餐费。单位全年安排的国内公务接待2批次，18人次。</w:t>
      </w:r>
    </w:p>
    <w:p>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18.23万元，决算数18.23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18.00万元，决算数18.00万元，预决算差异率0.00%，主要原因是：严格按照预算执行，预决算无差异。公务接待费全年预算数0.23万元，决算数0.23万元，预决算差异率0.00%，主要原因是：严格按照预算执行，预决算无差异。</w:t>
      </w:r>
    </w:p>
    <w:p>
      <w:pPr>
        <w:spacing w:line="640" w:lineRule="exact"/>
        <w:ind w:firstLine="640"/>
        <w:jc w:val="both"/>
        <w:outlineLvl w:val="2"/>
      </w:pPr>
      <w:r>
        <w:rPr>
          <w:rFonts w:ascii="黑体" w:hAnsi="黑体" w:eastAsia="黑体"/>
          <w:sz w:val="32"/>
        </w:rPr>
        <w:t>十、其他重要事项的情况说明</w:t>
      </w:r>
    </w:p>
    <w:p>
      <w:pPr>
        <w:spacing w:line="640" w:lineRule="exact"/>
        <w:ind w:firstLine="640"/>
        <w:jc w:val="both"/>
        <w:outlineLvl w:val="3"/>
      </w:pPr>
      <w:r>
        <w:rPr>
          <w:rFonts w:ascii="楷体_GB2312" w:hAnsi="楷体_GB2312" w:eastAsia="楷体_GB2312"/>
          <w:b/>
          <w:sz w:val="32"/>
        </w:rPr>
        <w:t>（一）机关运行经费及公用经费支出情况</w:t>
      </w:r>
    </w:p>
    <w:p>
      <w:pPr>
        <w:spacing w:line="580" w:lineRule="exact"/>
        <w:ind w:firstLine="640"/>
        <w:jc w:val="both"/>
      </w:pPr>
      <w:r>
        <w:rPr>
          <w:rFonts w:ascii="仿宋_GB2312" w:hAnsi="仿宋_GB2312" w:eastAsia="仿宋_GB2312"/>
          <w:b w:val="0"/>
          <w:sz w:val="32"/>
        </w:rPr>
        <w:t>2024年度中共昌吉回族自治州委员会政法委员会（行政单位和参照公务员法管理事业单位）机关运行经费支出128.24万元，比上年增加36.75万元，增长40.17%，主要原因是：本年将综合办公楼的暖气费列入机关运行经费，导致机关运行经费较上年增加。</w:t>
      </w:r>
    </w:p>
    <w:p>
      <w:pPr>
        <w:spacing w:line="640" w:lineRule="exact"/>
        <w:ind w:firstLine="640"/>
        <w:jc w:val="both"/>
        <w:outlineLvl w:val="3"/>
      </w:pPr>
      <w:r>
        <w:rPr>
          <w:rFonts w:ascii="楷体_GB2312" w:hAnsi="楷体_GB2312" w:eastAsia="楷体_GB2312"/>
          <w:b/>
          <w:sz w:val="32"/>
        </w:rPr>
        <w:t>（二）政府采购情况</w:t>
      </w:r>
    </w:p>
    <w:p>
      <w:pPr>
        <w:spacing w:line="580" w:lineRule="exact"/>
        <w:ind w:firstLine="640"/>
        <w:jc w:val="both"/>
      </w:pPr>
      <w:r>
        <w:rPr>
          <w:rFonts w:ascii="仿宋_GB2312" w:hAnsi="仿宋_GB2312" w:eastAsia="仿宋_GB2312"/>
          <w:b w:val="0"/>
          <w:sz w:val="32"/>
        </w:rPr>
        <w:t>2024年度政府采购支出总额231.81万元，其中：政府采购货物支出53.40万元、政府采购工程支出0.00万元、政府采购服务支出178.41万元。</w:t>
      </w:r>
    </w:p>
    <w:p>
      <w:pPr>
        <w:spacing w:line="580" w:lineRule="exact"/>
        <w:ind w:firstLine="640"/>
        <w:jc w:val="both"/>
      </w:pPr>
      <w:r>
        <w:rPr>
          <w:rFonts w:ascii="仿宋_GB2312" w:hAnsi="仿宋_GB2312" w:eastAsia="仿宋_GB2312"/>
          <w:b w:val="0"/>
          <w:sz w:val="32"/>
        </w:rPr>
        <w:t>授予中小企业合同金额231.81万元，占政府采购支出总额的100.00%，其中：授予小微企业合同金额231.81万元，占政府采购支出总额的100.00%。</w:t>
      </w:r>
    </w:p>
    <w:p>
      <w:pPr>
        <w:spacing w:line="640" w:lineRule="exact"/>
        <w:ind w:firstLine="640"/>
        <w:jc w:val="both"/>
        <w:outlineLvl w:val="3"/>
      </w:pPr>
      <w:r>
        <w:rPr>
          <w:rFonts w:ascii="楷体_GB2312" w:hAnsi="楷体_GB2312" w:eastAsia="楷体_GB2312"/>
          <w:b/>
          <w:sz w:val="32"/>
        </w:rPr>
        <w:t>（三）国有资产占用情况说明</w:t>
      </w:r>
    </w:p>
    <w:p>
      <w:pPr>
        <w:spacing w:line="580" w:lineRule="exact"/>
        <w:ind w:firstLine="640"/>
        <w:jc w:val="both"/>
      </w:pPr>
      <w:r>
        <w:rPr>
          <w:rFonts w:ascii="仿宋_GB2312" w:hAnsi="仿宋_GB2312" w:eastAsia="仿宋_GB2312"/>
          <w:b w:val="0"/>
          <w:sz w:val="32"/>
        </w:rPr>
        <w:t>截至2024年12月31日，房屋12,611.00平方米，价值6,399.39万元。车辆4辆，价值113.82万元，其中：副部（省）级及以上领导用车0辆、主要负责人用车0辆、机要通信用车0辆、应急保障用车0辆、执法执勤用车0辆、特种专业技术用车0辆、离退休干部服务用车0辆、其他用车4辆，其他用车主要是：一般公务用车。单价100万元（含）以上设备（不含车辆）1台（套）。</w:t>
      </w:r>
    </w:p>
    <w:p>
      <w:pPr>
        <w:spacing w:line="640" w:lineRule="exact"/>
        <w:ind w:firstLine="640"/>
        <w:jc w:val="both"/>
        <w:outlineLvl w:val="2"/>
      </w:pPr>
      <w:r>
        <w:rPr>
          <w:rFonts w:ascii="黑体" w:hAnsi="黑体" w:eastAsia="黑体"/>
          <w:sz w:val="32"/>
        </w:rPr>
        <w:t>十一、预算绩效的情况说明</w:t>
      </w:r>
    </w:p>
    <w:p>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2,828.43万元，实际执行总额2,828.43万元；预算绩效评价项目2个，全年预算数5.50万元，全年执行数5.50万元。预算绩效管理取得的成效：一是确保资金的高效使用，切实发挥财政资金的使用效果。二是严格按照工作职责和相关文件依据，确保专款专用。三是严格控制资金的流出方向，确保资金的合规性。发现的问题及原因：1.绩效指标的明确性、可衡量性、相关性还需进一步提升。预算精细化管理还需完善，预算编制管理水平仍有进一步提升的空间。2.业务人员绩效管理意识有待增强，未能全面深入认识理解绩效管理工作的意义。绩效管理经验不足，预算绩效管理工作有待进一步落实。下一步改进措施：1.加强预算绩效目标管理工作。明确预算项目绩效目标编制要求，分类别建立科学合理、细化量化、可比可测预算绩效指标体系，突出结果导向，重点考核实绩。2.加强绩效业务学习及培训，提高业务人员绩效管理意识，进一步加强预算绩效管理工作，优化项目支出绩效指标体系，完善预算绩效管理制度，有效推动我单位下一年度预算绩效管理工作常态化、规范化。具体附整体支出绩效自评表，项目支出绩效自评表和评价报告。</w:t>
      </w:r>
    </w:p>
    <w:p>
      <w:r>
        <w:br w:type="page"/>
      </w:r>
    </w:p>
    <w:tbl>
      <w:tblPr>
        <w:tblW w:type="auto" w:w="0"/>
        <w:tblLook w:firstColumn="1" w:firstRow="1" w:lastColumn="0" w:lastRow="0" w:noHBand="0" w:noVBand="1" w:val="04A0"/>
      </w:tblPr>
      <w:tblGrid>
        <w:gridCol w:w="983"/>
        <w:gridCol w:w="983"/>
        <w:gridCol w:w="983"/>
        <w:gridCol w:w="983"/>
        <w:gridCol w:w="983"/>
        <w:gridCol w:w="983"/>
        <w:gridCol w:w="983"/>
        <w:gridCol w:w="983"/>
        <w:gridCol w:w="983"/>
      </w:tblGrid>
      <w:tr>
        <w:tc>
          <w:tcPr>
            <w:tcW w:type="dxa" w:w="8847"/>
            <w:gridSpan w:val="9"/>
            <w:vAlign w:val="center"/>
          </w:tcPr>
          <w:p>
            <w:pPr>
              <w:jc w:val="center"/>
            </w:pPr>
            <w:r>
              <w:rPr>
                <w:rFonts w:ascii="宋体" w:hAnsi="宋体" w:eastAsia="宋体"/>
                <w:sz w:val="24"/>
              </w:rPr>
              <w:t>单位整体支出绩效自评表</w:t>
            </w:r>
          </w:p>
        </w:tc>
      </w:tr>
      <w:tr>
        <w:tc>
          <w:tcPr>
            <w:tcW w:type="dxa" w:w="8847"/>
            <w:gridSpan w:val="9"/>
            <w:vAlign w:val="center"/>
          </w:tcPr>
          <w:p>
            <w:pPr>
              <w:jc w:val="center"/>
            </w:pPr>
            <w:r>
              <w:rPr>
                <w:rFonts w:ascii="宋体" w:hAnsi="宋体" w:eastAsia="宋体"/>
                <w:sz w:val="24"/>
              </w:rPr>
              <w:t>（2024年度）</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单位名称</w:t>
            </w:r>
          </w:p>
        </w:tc>
        <w:tc>
          <w:tcPr>
            <w:tcW w:type="dxa" w:w="7864"/>
            <w:gridSpan w:val="8"/>
            <w:tcBorders>
              <w:start w:sz="10" w:val="single"/>
              <w:top w:sz="10" w:val="single"/>
              <w:end w:sz="10" w:val="single"/>
              <w:bottom w:sz="10" w:val="single"/>
              <w:insideV w:sz="10" w:val="single"/>
            </w:tcBorders>
            <w:vAlign w:val="center"/>
          </w:tcPr>
          <w:p>
            <w:pPr>
              <w:jc w:val="center"/>
            </w:pPr>
            <w:r>
              <w:rPr>
                <w:rFonts w:ascii="宋体" w:hAnsi="宋体" w:eastAsia="宋体"/>
                <w:sz w:val="16"/>
              </w:rPr>
              <w:t>中共昌吉回族自治州委员会政法委员会</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部门资金（万元）</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资金来源</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分值权重</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上级资金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本级资金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2,234.71</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2,809.53</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2,809.53</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其他资金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129.00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18.90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18.90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合计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2,363.71</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2,828.43</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2,828.43</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2949"/>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4915"/>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983"/>
            <w:vMerge/>
            <w:tcBorders>
              <w:start w:sz="10" w:val="single"/>
              <w:top w:sz="10" w:val="single"/>
              <w:end w:sz="10" w:val="single"/>
              <w:bottom w:sz="10" w:val="single"/>
              <w:insideV w:sz="10" w:val="single"/>
            </w:tcBorders>
          </w:tcPr>
          <w:p/>
        </w:tc>
        <w:tc>
          <w:tcPr>
            <w:tcW w:type="dxa" w:w="2949"/>
            <w:gridSpan w:val="3"/>
            <w:tcBorders>
              <w:start w:sz="10" w:val="single"/>
              <w:top w:sz="10" w:val="single"/>
              <w:end w:sz="10" w:val="single"/>
              <w:bottom w:sz="10" w:val="single"/>
              <w:insideV w:sz="10" w:val="single"/>
            </w:tcBorders>
            <w:vAlign w:val="center"/>
          </w:tcPr>
          <w:p>
            <w:pPr>
              <w:jc w:val="both"/>
            </w:pPr>
            <w:r>
              <w:rPr>
                <w:rFonts w:ascii="宋体" w:hAnsi="宋体" w:eastAsia="宋体"/>
                <w:sz w:val="16"/>
              </w:rPr>
              <w:t>坚持以习近平新时代中国特色社会主义思想为指导，深入学习贯彻习近平法治思想，深入学习贯彻落实党的二十大精神，完整准确贯彻新时代党的治疆方略，进一步夯实基层基础、扎实推动平安建设宣传工作，持续巩固深化平安昌吉建设工作成效，提升群众对平安建设的知晓率、满意度。完成中央商务区8号楼物业及消防工作，给干部营造良好的办公环境，保障职工正常开展工作，保障干部职工工资福利待遇。</w:t>
            </w:r>
          </w:p>
        </w:tc>
        <w:tc>
          <w:tcPr>
            <w:tcW w:type="dxa" w:w="4915"/>
            <w:gridSpan w:val="5"/>
            <w:tcBorders>
              <w:start w:sz="10" w:val="single"/>
              <w:top w:sz="10" w:val="single"/>
              <w:end w:sz="10" w:val="single"/>
              <w:bottom w:sz="10" w:val="single"/>
              <w:insideV w:sz="10" w:val="single"/>
            </w:tcBorders>
            <w:vAlign w:val="center"/>
          </w:tcPr>
          <w:p>
            <w:pPr>
              <w:jc w:val="both"/>
            </w:pPr>
            <w:r>
              <w:rPr>
                <w:rFonts w:ascii="宋体" w:hAnsi="宋体" w:eastAsia="宋体"/>
                <w:sz w:val="16"/>
              </w:rPr>
              <w:t>2024年我单位全年预算数为2828.43万元，全年执行数为2828.43万元，总预算执行率为100%。2024年我单位完成以下工作内容：1.坚持以习近平新时代中国特色社会主义思想为指导，深入学习贯彻习近平法治思想，深入学习贯彻落实党的二十大精神，完整准确贯彻新时代党的治疆方略，进一步夯实基层基础、扎实推动平安建设宣传工作，持续巩固深化平安昌吉建设工作成效，2.提升群众对平安建设的知晓率、满意度。3.完成中央商务区8号楼物业及消防工作，给干部营造良好的办公环境，保障职工正常开展工作，保障干部职工工资福利待遇。通过以上工作的实施，进一步提升了群众的获得感、幸福感，促进了社会大局持续稳定和经济社会健康发展 。</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预期指标值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分值权重</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实际完成指标值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履职效能</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慰问见义勇为人数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&gt;=40人</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2024年自治州见义勇为慰问方案</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49人</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完成大楼院内物业管理服务面积</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=15516.38平方米</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办公室工作计划</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15516.38平方米</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开展主题党日活动</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&gt;=1次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2024年党建计划</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12次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保障办公人员数量</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&gt;=48人</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2024年编制实有人数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48人</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“五好”党支部补助经费</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昌吉州政法委</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中共昌吉回族自治州委员会政法委员会</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2.50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2.50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2.50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2.50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目标1：开展主题党日活动≧1次，目标2：开展党支部文体活动≧1次，目标3：开展庆祝建州70周年党建活动≧1次，开展“青春·政研习”青年理论学习小组调研实践和“坚信念、强体魄”素质能力拓展活动≧1次。</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2024年12月31日，该项目实际完成了开展主题党日活动3次、开展党支部文体活动1次、开展“青春·政研习”青年理论学习小组调研实践和“坚信念、强体魄”素质能力拓展活动1次。始终坚持抓好学习贯彻习近平新时代中国特色社会主义思想和党的二十大、二十届二中三中全会精神，不断巩固深化主题学习、专题研讨，开展主题党日活动、文体活动等，教育引领党员干部坚决捍卫两个确立，做到“两个维护”，强化了政治引领，筑牢思想根基，夯实了党建基础，提升了工作质效，促进了党员素质和党支部整体工作水平不断提高。</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开展主题党日活动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按照年初计划，稳步开展，年初制定不少于一次，全年共开展三次。</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开展党支部文体活动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开展庆祝建州70周年党建活动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庆祝建州70周年活动已确认由机关工委统一组织开展。</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开展“青春·政研习”青年理论学习小组调研实践和“坚信念、强体魄”素质能力拓展活动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参加党支部文体活动人数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&gt;=40人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=50人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3.75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年初制定的党支部活动人员范围扩大到了机关全体干部</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党员教育覆盖率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办公经费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&lt;=2.50万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=2.5万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党员素质和党支部整体工作水平不断提高</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不断提高</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83.75分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庭州法治人才育才专项行动</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昌吉州政法委</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中共昌吉回族自治州委员会政法委员会</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为深入贯彻党的二十大和中央、自治区党委人才工作会议精神，贯彻落实自治区关于加强和改进新时代人才工作的实施意见，根据昌吉州庭州英才人才计划实施细则，计划向庭州英才1人发放补助、工作经费3万元于2024年12月20日前完成，通过庭州英才法治人才计划后继续深造学习，形成理论成果1篇；不断提升法律服务理念方法。</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2024年12月31日，该项目实际完成了向庭州英才1人发放补助、工作经费3万元，通过庭州英才法治人才计划项目实施后该名法治人才不断继续深造学习，形成理论成果1篇，在促进昌吉州经济社会发展、提升人才质量方面发挥了重要作用，同时提高了法律服务理念的方法。</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补助、工作经费发放人数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形成理论成果数量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发放资金次数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资金使用合规率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项目完成时间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2024年12月20日前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2024年6月27日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业务经费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补助经费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&lt;=2万元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不断提升提升法律服务理念方法</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不断提升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p>
      <w:pPr>
        <w:spacing w:line="640" w:lineRule="exact"/>
        <w:ind w:firstLine="640"/>
        <w:jc w:val="both"/>
        <w:outlineLvl w:val="2"/>
      </w:pPr>
      <w:r>
        <w:rPr>
          <w:rFonts w:ascii="黑体" w:hAnsi="黑体" w:eastAsia="黑体"/>
          <w:sz w:val="32"/>
        </w:rPr>
        <w:t>十二、其他需说明的事项</w:t>
      </w:r>
    </w:p>
    <w:p>
      <w:pPr>
        <w:spacing w:line="580" w:lineRule="exact"/>
        <w:ind w:firstLine="640"/>
        <w:jc w:val="both"/>
      </w:pPr>
      <w:r>
        <w:rPr>
          <w:rFonts w:ascii="仿宋_GB2312" w:hAnsi="仿宋_GB2312" w:eastAsia="仿宋_GB2312"/>
          <w:b w:val="0"/>
          <w:sz w:val="32"/>
        </w:rPr>
        <w:t>本年本单位SM项目11个，全年预算数1746.92万元，全年执行数1746.92万元。</w:t>
      </w:r>
    </w:p>
    <w:p>
      <w:r>
        <w:br w:type="page"/>
      </w:r>
    </w:p>
    <w:p>
      <w:pPr>
        <w:spacing w:line="240" w:lineRule="auto"/>
        <w:jc w:val="center"/>
        <w:outlineLvl w:val="1"/>
      </w:pPr>
      <w:r>
        <w:rPr>
          <w:rFonts w:ascii="黑体" w:hAnsi="黑体" w:eastAsia="黑体"/>
          <w:sz w:val="32"/>
        </w:rPr>
        <w:t>第三部分 专业名词解释</w:t>
      </w:r>
    </w:p>
    <w:p>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r>
        <w:br w:type="page"/>
      </w:r>
    </w:p>
    <w:p>
      <w:pPr>
        <w:spacing w:line="240" w:lineRule="auto"/>
        <w:jc w:val="center"/>
        <w:outlineLvl w:val="1"/>
      </w:pPr>
      <w:r>
        <w:rPr>
          <w:rFonts w:ascii="黑体" w:hAnsi="黑体" w:eastAsia="黑体"/>
          <w:sz w:val="32"/>
        </w:rPr>
        <w:t>第四部分 部门决算报表（见附表）</w:t>
      </w:r>
    </w:p>
    <w:p>
      <w:pPr>
        <w:spacing w:line="240" w:lineRule="auto"/>
        <w:ind w:firstLine="640"/>
        <w:jc w:val="both"/>
      </w:pPr>
      <w:r>
        <w:rPr>
          <w:rFonts w:ascii="仿宋_GB2312" w:hAnsi="仿宋_GB2312" w:eastAsia="仿宋_GB2312"/>
          <w:b w:val="0"/>
          <w:sz w:val="32"/>
        </w:rPr>
        <w:t>一、《收入支出决算总表》</w:t>
      </w:r>
    </w:p>
    <w:p>
      <w:pPr>
        <w:spacing w:line="240" w:lineRule="auto"/>
        <w:ind w:firstLine="640"/>
        <w:jc w:val="both"/>
      </w:pPr>
      <w:r>
        <w:rPr>
          <w:rFonts w:ascii="仿宋_GB2312" w:hAnsi="仿宋_GB2312" w:eastAsia="仿宋_GB2312"/>
          <w:b w:val="0"/>
          <w:sz w:val="32"/>
        </w:rPr>
        <w:t>二、《收入决算表》</w:t>
      </w:r>
    </w:p>
    <w:p>
      <w:pPr>
        <w:spacing w:line="240" w:lineRule="auto"/>
        <w:ind w:firstLine="640"/>
        <w:jc w:val="both"/>
      </w:pPr>
      <w:r>
        <w:rPr>
          <w:rFonts w:ascii="仿宋_GB2312" w:hAnsi="仿宋_GB2312" w:eastAsia="仿宋_GB2312"/>
          <w:b w:val="0"/>
          <w:sz w:val="32"/>
        </w:rPr>
        <w:t>三、《支出决算表》</w:t>
      </w:r>
    </w:p>
    <w:p>
      <w:pPr>
        <w:spacing w:line="240" w:lineRule="auto"/>
        <w:ind w:firstLine="640"/>
        <w:jc w:val="both"/>
      </w:pPr>
      <w:r>
        <w:rPr>
          <w:rFonts w:ascii="仿宋_GB2312" w:hAnsi="仿宋_GB2312" w:eastAsia="仿宋_GB2312"/>
          <w:b w:val="0"/>
          <w:sz w:val="32"/>
        </w:rPr>
        <w:t>四、《财政拨款收入支出决算总表》</w:t>
      </w:r>
    </w:p>
    <w:p>
      <w:pPr>
        <w:spacing w:line="240" w:lineRule="auto"/>
        <w:ind w:firstLine="640"/>
        <w:jc w:val="both"/>
      </w:pPr>
      <w:r>
        <w:rPr>
          <w:rFonts w:ascii="仿宋_GB2312" w:hAnsi="仿宋_GB2312" w:eastAsia="仿宋_GB2312"/>
          <w:b w:val="0"/>
          <w:sz w:val="32"/>
        </w:rPr>
        <w:t>五、《一般公共预算财政拨款支出决算表》</w:t>
      </w:r>
    </w:p>
    <w:p>
      <w:pPr>
        <w:spacing w:line="240" w:lineRule="auto"/>
        <w:ind w:firstLine="640"/>
        <w:jc w:val="both"/>
      </w:pPr>
      <w:r>
        <w:rPr>
          <w:rFonts w:ascii="仿宋_GB2312" w:hAnsi="仿宋_GB2312" w:eastAsia="仿宋_GB2312"/>
          <w:b w:val="0"/>
          <w:sz w:val="32"/>
        </w:rPr>
        <w:t>六、《一般公共预算财政拨款基本支出决算表》</w:t>
      </w:r>
    </w:p>
    <w:p>
      <w:pPr>
        <w:spacing w:line="240" w:lineRule="auto"/>
        <w:ind w:firstLine="640"/>
        <w:jc w:val="both"/>
      </w:pPr>
      <w:r>
        <w:rPr>
          <w:rFonts w:ascii="仿宋_GB2312" w:hAnsi="仿宋_GB2312" w:eastAsia="仿宋_GB2312"/>
          <w:b w:val="0"/>
          <w:sz w:val="32"/>
        </w:rPr>
        <w:t>七、《政府性基金预算财政拨款收入支出决算表》</w:t>
      </w:r>
    </w:p>
    <w:p>
      <w:pPr>
        <w:spacing w:line="240" w:lineRule="auto"/>
        <w:ind w:firstLine="640"/>
        <w:jc w:val="both"/>
      </w:pPr>
      <w:r>
        <w:rPr>
          <w:rFonts w:ascii="仿宋_GB2312" w:hAnsi="仿宋_GB2312" w:eastAsia="仿宋_GB2312"/>
          <w:b w:val="0"/>
          <w:sz w:val="32"/>
        </w:rPr>
        <w:t>八、《国有资本经营预算财政拨款收入支出决算表》</w:t>
      </w:r>
    </w:p>
    <w:p>
      <w:pPr>
        <w:spacing w:line="240" w:lineRule="auto"/>
        <w:ind w:firstLine="640"/>
        <w:jc w:val="both"/>
      </w:pPr>
      <w:r>
        <w:rPr>
          <w:rFonts w:ascii="仿宋_GB2312" w:hAnsi="仿宋_GB2312" w:eastAsia="仿宋_GB2312"/>
          <w:b w:val="0"/>
          <w:sz w:val="32"/>
        </w:rPr>
        <w:t>九、《财政拨款“三公”经费支出决算表》</w:t>
      </w:r>
    </w:p>
    <w:p>
      <w:pPr>
        <w:spacing w:line="240" w:lineRule="auto"/>
        <w:ind w:firstLine="640"/>
        <w:jc w:val="both"/>
      </w:pPr>
    </w:p>
    <w:p>
      <w:pPr>
        <w:spacing w:line="240" w:lineRule="auto"/>
        <w:ind w:firstLine="640"/>
        <w:jc w:val="both"/>
      </w:pPr>
    </w:p>
    <w:p>
      <w:pPr>
        <w:spacing w:line="240" w:lineRule="auto"/>
        <w:ind w:firstLine="640"/>
        <w:jc w:val="both"/>
      </w:pPr>
    </w:p>
    <w:p>
      <w:pPr>
        <w:spacing w:line="240" w:lineRule="auto"/>
        <w:ind w:firstLine="640"/>
        <w:jc w:val="both"/>
      </w:pPr>
    </w:p>
    <w:p>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523</Words>
  <Characters>541</Characters>
  <Lines>0</Lines>
  <Paragraphs>0</Paragraphs>
  <TotalTime>0</TotalTime>
  <ScaleCrop>false</ScaleCrop>
  <LinksUpToDate>false</LinksUpToDate>
  <CharactersWithSpaces>547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郭子歪</cp:lastModifiedBy>
  <cp:lastPrinted>2024-07-22T11:58:00Z</cp:lastPrinted>
  <dcterms:modified xsi:type="dcterms:W3CDTF">2025-08-08T11:56:24Z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B858A68E913346F885B5BC17D4DBEB06_13</vt:lpwstr>
  </property>
  <property fmtid="{D5CDD505-2E9C-101B-9397-08002B2CF9AE}" pid="4" name="KSOTemplateDocerSaveRecord">
    <vt:lpwstr>eyJoZGlkIjoiODY5ZWEwNzk5MThkZjUwOTQxNjE1MDdiYWJiNGU5YzAiLCJ1c2VySWQiOiI0Nzg3NDM5MjgifQ==</vt:lpwstr>
  </property>
</Properties>
</file>