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奇台县人民检察院2024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人民检察院是国家专门的法律监督机关，与政府和法院并称一府两院，均由同级人民代表大会产生，对其负责并报告工作。检察院通过履行侦查、批准逮捕、审查起诉、支持公诉等法律监督职能，保证国家法律的统一和正确实施。具体职权包括如下七个方面。</w:t>
      </w:r>
    </w:p>
    <w:p>
      <w:pPr>
        <w:spacing w:line="580" w:lineRule="exact"/>
        <w:ind w:firstLine="640"/>
        <w:jc w:val="both"/>
      </w:pPr>
      <w:r>
        <w:rPr>
          <w:rFonts w:ascii="仿宋_GB2312" w:hAnsi="仿宋_GB2312" w:eastAsia="仿宋_GB2312"/>
          <w:sz w:val="32"/>
        </w:rPr>
        <w:t>1、对于叛国案、分裂国家案以及严重破坏国家的政策、法律、政令统一实施的重大犯罪案件，行使检察权。</w:t>
      </w:r>
    </w:p>
    <w:p>
      <w:pPr>
        <w:spacing w:line="580" w:lineRule="exact"/>
        <w:ind w:firstLine="640"/>
        <w:jc w:val="both"/>
      </w:pPr>
      <w:r>
        <w:rPr>
          <w:rFonts w:ascii="仿宋_GB2312" w:hAnsi="仿宋_GB2312" w:eastAsia="仿宋_GB2312"/>
          <w:sz w:val="32"/>
        </w:rPr>
        <w:t>2、对于公安机关、国家安全机关等侦查机关侦查的案件进行审查，决定是否逮捕、起诉或者不起诉。并对侦查机关的侦查活动是否合法实行监督。</w:t>
      </w:r>
    </w:p>
    <w:p>
      <w:pPr>
        <w:spacing w:line="580" w:lineRule="exact"/>
        <w:ind w:firstLine="640"/>
        <w:jc w:val="both"/>
      </w:pPr>
      <w:r>
        <w:rPr>
          <w:rFonts w:ascii="仿宋_GB2312" w:hAnsi="仿宋_GB2312" w:eastAsia="仿宋_GB2312"/>
          <w:sz w:val="32"/>
        </w:rPr>
        <w:t>3、对于刑事案件提起公诉，支持公诉；对于人民法院的刑事判决、裁定是否正确和审判活动是否合法实行监督。</w:t>
      </w:r>
    </w:p>
    <w:p>
      <w:pPr>
        <w:spacing w:line="580" w:lineRule="exact"/>
        <w:ind w:firstLine="640"/>
        <w:jc w:val="both"/>
      </w:pPr>
      <w:r>
        <w:rPr>
          <w:rFonts w:ascii="仿宋_GB2312" w:hAnsi="仿宋_GB2312" w:eastAsia="仿宋_GB2312"/>
          <w:sz w:val="32"/>
        </w:rPr>
        <w:t>4、对于监狱、看守所等执行机关执行刑罚的活动是否合法实行监督。</w:t>
      </w:r>
    </w:p>
    <w:p>
      <w:pPr>
        <w:spacing w:line="580" w:lineRule="exact"/>
        <w:ind w:firstLine="640"/>
        <w:jc w:val="both"/>
      </w:pPr>
      <w:r>
        <w:rPr>
          <w:rFonts w:ascii="仿宋_GB2312" w:hAnsi="仿宋_GB2312" w:eastAsia="仿宋_GB2312"/>
          <w:sz w:val="32"/>
        </w:rPr>
        <w:t>5、对于人民法院的民事审判活动实行法律监督，对人民法院已经发生效力的判决、裁定，发现违反法律、法规规定的，依法提出抗诉。</w:t>
      </w:r>
    </w:p>
    <w:p>
      <w:pPr>
        <w:spacing w:line="580" w:lineRule="exact"/>
        <w:ind w:firstLine="640"/>
        <w:jc w:val="both"/>
      </w:pPr>
      <w:r>
        <w:rPr>
          <w:rFonts w:ascii="仿宋_GB2312" w:hAnsi="仿宋_GB2312" w:eastAsia="仿宋_GB2312"/>
          <w:sz w:val="32"/>
        </w:rPr>
        <w:t>6、对于行政诉讼实行法律监督。对人民法院已经发生效力的判决、裁定发现违反法律、法规规定的，依法提出抗诉。</w:t>
      </w:r>
    </w:p>
    <w:p>
      <w:pPr>
        <w:spacing w:line="580" w:lineRule="exact"/>
        <w:ind w:firstLine="640"/>
        <w:jc w:val="both"/>
      </w:pPr>
      <w:r>
        <w:rPr>
          <w:rFonts w:ascii="仿宋_GB2312" w:hAnsi="仿宋_GB2312" w:eastAsia="仿宋_GB2312"/>
          <w:sz w:val="32"/>
        </w:rPr>
        <w:t>7、对检察工作中的具体应用法律问题进行研究，向立法机关和上级人民检察院提出立法和司法解释建议。</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奇台县人民检察院2024年度，实有人数64人，其中：在职人员31人，减少5人；离休人员0人，增加0人；退休人员33人,增加3人。</w:t>
      </w:r>
    </w:p>
    <w:p>
      <w:pPr>
        <w:spacing w:line="580" w:lineRule="exact"/>
        <w:ind w:firstLine="640"/>
        <w:jc w:val="both"/>
      </w:pPr>
      <w:r>
        <w:rPr>
          <w:rFonts w:ascii="仿宋_GB2312" w:hAnsi="仿宋_GB2312" w:eastAsia="仿宋_GB2312"/>
          <w:sz w:val="32"/>
        </w:rPr>
        <w:t>奇台县人民检察院无下属预算单位，下设5个科室，分别是：政治部、办公室、第一检察部、第二检察部、第三检察部。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2024年度收入总计1,384.38万元，</w:t>
      </w:r>
      <w:r>
        <w:rPr>
          <w:rFonts w:ascii="仿宋_GB2312" w:hAnsi="仿宋_GB2312" w:eastAsia="仿宋_GB2312"/>
          <w:b w:val="0"/>
          <w:sz w:val="32"/>
        </w:rPr>
        <w:t>其中：本年收入合计1,334.38万元，使用非财政拨款结余（含专用结余）0.00万元，年初结转和结余50.00万元。</w:t>
      </w:r>
    </w:p>
    <w:p>
      <w:pPr>
        <w:spacing w:line="580" w:lineRule="exact"/>
        <w:ind w:firstLine="640"/>
        <w:jc w:val="both"/>
      </w:pPr>
      <w:r>
        <w:rPr>
          <w:rFonts w:ascii="仿宋_GB2312" w:hAnsi="仿宋_GB2312" w:eastAsia="仿宋_GB2312"/>
          <w:b/>
          <w:sz w:val="32"/>
        </w:rPr>
        <w:t>2024年度支出总计1,384.38万元，</w:t>
      </w:r>
      <w:r>
        <w:rPr>
          <w:rFonts w:ascii="仿宋_GB2312" w:hAnsi="仿宋_GB2312" w:eastAsia="仿宋_GB2312"/>
          <w:b w:val="0"/>
          <w:sz w:val="32"/>
        </w:rPr>
        <w:t>其中：本年支出合计1,384.38万元，结余分配0.00万元，年末结转和结余0.00万元。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减少50.59万元，下降3.53%，主要原因是：本年在职人员减少，相关人员经费减少，减少电子档案化项目，科技强检债务项目，集中打印室项目，新媒体建设项目等。</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本年收入1,334.38万元，</w:t>
      </w:r>
      <w:r>
        <w:rPr>
          <w:rFonts w:ascii="仿宋_GB2312" w:hAnsi="仿宋_GB2312" w:eastAsia="仿宋_GB2312"/>
          <w:b w:val="0"/>
          <w:sz w:val="32"/>
        </w:rPr>
        <w:t>其中：财政拨款收入1,304.29万元，占97.75%；上级补助收入0.00万元，占0.00%；事业收入0.00万元，占0.00%；经营收入0.00万元，占0.00%；附属单位上缴收入0.00万元，占0.00%；其他收入30.09万元，占2.25%。</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本年支出1,384.38万元，</w:t>
      </w:r>
      <w:r>
        <w:rPr>
          <w:rFonts w:ascii="仿宋_GB2312" w:hAnsi="仿宋_GB2312" w:eastAsia="仿宋_GB2312"/>
          <w:b w:val="0"/>
          <w:sz w:val="32"/>
        </w:rPr>
        <w:t>其中：基本支出952.12万元，占68.78%；项目支出432.26万元，占31.22%；上缴上级支出0.00万元，占0.00%；经营支出0.00万元，占0.00%；对附属单位补助支出0.00万元，占0.00%。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2024年度财政拨款收入总计1,304.29万元，</w:t>
      </w:r>
      <w:r>
        <w:rPr>
          <w:rFonts w:ascii="仿宋_GB2312" w:hAnsi="仿宋_GB2312" w:eastAsia="仿宋_GB2312"/>
          <w:b w:val="0"/>
          <w:sz w:val="32"/>
        </w:rPr>
        <w:t>其中：年初财政拨款结转和结余0.00万元，本年财政拨款收入1,304.29万元。</w:t>
      </w:r>
      <w:r>
        <w:rPr>
          <w:rFonts w:ascii="仿宋_GB2312" w:hAnsi="仿宋_GB2312" w:eastAsia="仿宋_GB2312"/>
          <w:b/>
          <w:sz w:val="32"/>
        </w:rPr>
        <w:t>财政拨款支出总计1,304.29万元，</w:t>
      </w:r>
      <w:r>
        <w:rPr>
          <w:rFonts w:ascii="仿宋_GB2312" w:hAnsi="仿宋_GB2312" w:eastAsia="仿宋_GB2312"/>
          <w:b w:val="0"/>
          <w:sz w:val="32"/>
        </w:rPr>
        <w:t>其中：年末财政拨款结转和结余0.00万元，本年财政拨款支出1,304.29万元。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减少64.79万元，下降4.73%，主要原因是：本年在职人员减少，相关人员经费减少，减少电子档案化项目，科技强检债务项目，集中打印室项目，新媒体建设项目等。</w:t>
      </w:r>
      <w:r>
        <w:rPr>
          <w:rFonts w:ascii="仿宋_GB2312" w:hAnsi="仿宋_GB2312" w:eastAsia="仿宋_GB2312"/>
          <w:b/>
          <w:sz w:val="32"/>
        </w:rPr>
        <w:t>与年初预算相比，</w:t>
      </w:r>
      <w:r>
        <w:rPr>
          <w:rFonts w:ascii="仿宋_GB2312" w:hAnsi="仿宋_GB2312" w:eastAsia="仿宋_GB2312"/>
          <w:b w:val="0"/>
          <w:sz w:val="32"/>
        </w:rPr>
        <w:t>年初预算数1,143.79万元，决算数1,304.29万元，预决算差异率14.03%，主要原因是：年中追加人员工资、社保、公积金基数调增部分资金及为民办实事经费项目，“庭州英才”项目、中央政法专项转移支付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2024年度一般公共预算财政拨款支出1,304.29万元，</w:t>
      </w:r>
      <w:r>
        <w:rPr>
          <w:rFonts w:ascii="仿宋_GB2312" w:hAnsi="仿宋_GB2312" w:eastAsia="仿宋_GB2312"/>
          <w:b w:val="0"/>
          <w:sz w:val="32"/>
        </w:rPr>
        <w:t>占本年支出合计的94.21%。</w:t>
      </w:r>
      <w:r>
        <w:rPr>
          <w:rFonts w:ascii="仿宋_GB2312" w:hAnsi="仿宋_GB2312" w:eastAsia="仿宋_GB2312"/>
          <w:b/>
          <w:sz w:val="32"/>
        </w:rPr>
        <w:t>与上年相比，</w:t>
      </w:r>
      <w:r>
        <w:rPr>
          <w:rFonts w:ascii="仿宋_GB2312" w:hAnsi="仿宋_GB2312" w:eastAsia="仿宋_GB2312"/>
          <w:b w:val="0"/>
          <w:sz w:val="32"/>
        </w:rPr>
        <w:t>减少64.79万元，下降4.73%，主要原因是：本年在职人员减少，相关人员经费减少，减少电子档案化项目，科技强检债务项目，集中打印室项目，新媒体建设项目等。</w:t>
      </w:r>
      <w:r>
        <w:rPr>
          <w:rFonts w:ascii="仿宋_GB2312" w:hAnsi="仿宋_GB2312" w:eastAsia="仿宋_GB2312"/>
          <w:b/>
          <w:sz w:val="32"/>
        </w:rPr>
        <w:t>与年初预算相比,</w:t>
      </w:r>
      <w:r>
        <w:rPr>
          <w:rFonts w:ascii="仿宋_GB2312" w:hAnsi="仿宋_GB2312" w:eastAsia="仿宋_GB2312"/>
          <w:b w:val="0"/>
          <w:sz w:val="32"/>
        </w:rPr>
        <w:t>年初预算数1,143.79万元，决算数1,304.29万元，预决算差异率14.03%，主要原因是：年中追加人员工资、社保、公积金基数调增部分资金及为民办实事经费项目，“庭州英才”项目、中央政法专项转移支付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1.公共安全支出(类)1,083.14万元,占83.04%。</w:t>
      </w:r>
    </w:p>
    <w:p>
      <w:pPr>
        <w:spacing w:line="580" w:lineRule="exact"/>
        <w:ind w:firstLine="640"/>
        <w:jc w:val="both"/>
      </w:pPr>
      <w:r>
        <w:rPr>
          <w:rFonts w:ascii="仿宋_GB2312" w:hAnsi="仿宋_GB2312" w:eastAsia="仿宋_GB2312"/>
          <w:b w:val="0"/>
          <w:sz w:val="32"/>
        </w:rPr>
        <w:t>2.社会保障和就业支出(类)119.56万元,占9.17%。</w:t>
      </w:r>
    </w:p>
    <w:p>
      <w:pPr>
        <w:spacing w:line="580" w:lineRule="exact"/>
        <w:ind w:firstLine="640"/>
        <w:jc w:val="both"/>
      </w:pPr>
      <w:r>
        <w:rPr>
          <w:rFonts w:ascii="仿宋_GB2312" w:hAnsi="仿宋_GB2312" w:eastAsia="仿宋_GB2312"/>
          <w:b w:val="0"/>
          <w:sz w:val="32"/>
        </w:rPr>
        <w:t>3.卫生健康支出(类)34.88万元,占2.67%。</w:t>
      </w:r>
    </w:p>
    <w:p>
      <w:pPr>
        <w:spacing w:line="580" w:lineRule="exact"/>
        <w:ind w:firstLine="640"/>
        <w:jc w:val="both"/>
      </w:pPr>
      <w:r>
        <w:rPr>
          <w:rFonts w:ascii="仿宋_GB2312" w:hAnsi="仿宋_GB2312" w:eastAsia="仿宋_GB2312"/>
          <w:b w:val="0"/>
          <w:sz w:val="32"/>
        </w:rPr>
        <w:t>4.住房保障支出(类)52.07万元,占3.99%。</w:t>
      </w:r>
    </w:p>
    <w:p>
      <w:pPr>
        <w:spacing w:line="580" w:lineRule="exact"/>
        <w:ind w:firstLine="640"/>
        <w:jc w:val="both"/>
      </w:pPr>
      <w:r>
        <w:rPr>
          <w:rFonts w:ascii="仿宋_GB2312" w:hAnsi="仿宋_GB2312" w:eastAsia="仿宋_GB2312"/>
          <w:b w:val="0"/>
          <w:sz w:val="32"/>
        </w:rPr>
        <w:t>5.其他支出(类)14.64万元,占1.12%。</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1.公共安全支出(类)检察(款)行政运行(项):支出决算数为741.88万元，比上年决算增加15.60万元，增长2.15%,主要原因是：本年在职人员工资调增，导致相关人员经费较上年有所增加。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2.公共安全支出(类)检察(款)一般行政管理事务(项):支出决算数为18.56万元，比上年决算减少226.88万元，下降92.44%,主要原因是：本年减少暖气、楼顶、台阶和电路维修项目，电子档案化项目，科技强检债务项目，集中打印室项目，新媒体建设项目，远程提审项目，“两网一线”项目，智慧检务项目。</w:t>
      </w:r>
    </w:p>
    <w:p>
      <w:pPr>
        <w:spacing w:line="580" w:lineRule="exact"/>
        <w:ind w:firstLine="640"/>
        <w:jc w:val="both"/>
      </w:pPr>
      <w:r>
        <w:rPr>
          <w:rFonts w:ascii="仿宋_GB2312" w:hAnsi="仿宋_GB2312" w:eastAsia="仿宋_GB2312"/>
          <w:b w:val="0"/>
          <w:sz w:val="32"/>
        </w:rPr>
        <w:t>3.公共安全支出(类)检察(款)其他检察支出(项):支出决算数为322.70万元，比上年决算增加113.39万元，增长54.17%,主要原因是：本年中央政法专项转移支付资金支出增加。</w:t>
      </w:r>
    </w:p>
    <w:p>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4.社会保障和就业支出(类)行政事业单位养老支出(款)行政单位离退休(项):支出决算数为19.60万元，比上年决算增加9.87万元，增长101.44%,主要原因是：本年退休人员增加，发放退休人员绩效，退休费支出增加。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62.64万元，比上年决算减少14.24万元，下降18.52%,主要原因是：本年在职人员减少，单位基本养老保险缴费较上年减少。</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6.社会保障和就业支出(类)行政事业单位养老支出(款)机关事业单位职业年金缴费支出(项):支出决算数为37.32万元，比上年决算增加36.06万元，增长2,861.90%,主要原因是：本年新增退休人员，职业年金缴费支出增加。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7.卫生健康支出(类)行政事业单位医疗(款)行政单位医疗(项):支出决算数为32.30万元，比上年决算增加9.14万元，增长39.46%,主要原因是：本年在职人员工资基数调增，医疗缴费基数上涨，相应支出增加。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8.卫生健康支出(类)行政事业单位医疗(款)公务员医疗补助(项):支出决算数为2.19万元，比上年决算增加0.57万元，增长35.19%,主要原因是：本年在职人员工资基数调增，医疗缴费基数上涨，相应支出增加。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9.卫生健康支出(类)行政事业单位医疗(款)其他行政事业单位医疗支出(项):支出决算数为0.40万元，比上年决算增加0.05万元，增长14.29%,主要原因是：本年在职人员工资基数调增，医疗缴费基数上涨，相应支出增加。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10.住房保障支出(类)住房改革支出(款)住房公积金(项):支出决算数为52.07万元，比上年决算增加1.36万元，增长2.68%,主要原因是：本年在职人员工资基数调增，公积金缴费基数上涨，相应支出增加。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11.其他支出(类)其他支出(款)其他支出(项):支出决算数为14.64万元，比上年决算减少9.71万元，下降39.88%,主要原因是：本年驻村人员减少，驻村工作队员补助资金减少。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2024年度一般公共预算财政拨款基本支出952.02万元，其中：</w:t>
      </w:r>
      <w:r>
        <w:rPr>
          <w:rFonts w:ascii="仿宋_GB2312" w:hAnsi="仿宋_GB2312" w:eastAsia="仿宋_GB2312"/>
          <w:b/>
          <w:sz w:val="32"/>
        </w:rPr>
        <w:t>人员经费862.26万元，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奖励金。</w:t>
      </w:r>
    </w:p>
    <w:p>
      <w:pPr>
        <w:spacing w:line="580" w:lineRule="exact"/>
        <w:ind w:firstLine="640"/>
        <w:jc w:val="both"/>
      </w:pPr>
      <w:r>
        <w:rPr>
          <w:rFonts w:ascii="仿宋_GB2312" w:hAnsi="仿宋_GB2312" w:eastAsia="仿宋_GB2312"/>
          <w:b/>
          <w:sz w:val="32"/>
        </w:rPr>
        <w:t>公用经费89.77万元，</w:t>
      </w:r>
      <w:r>
        <w:rPr>
          <w:rFonts w:ascii="仿宋_GB2312" w:hAnsi="仿宋_GB2312" w:eastAsia="仿宋_GB2312"/>
          <w:b w:val="0"/>
          <w:sz w:val="32"/>
        </w:rPr>
        <w:t>包括：办公费、水费、电费、邮电费、取暖费、公务接待费、劳务费、委托业务费、工会经费、福利费、公务用车运行维护费、其他商品和服务支出。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2024年度财政拨款“三公”经费支出9.98万元，</w:t>
      </w:r>
      <w:r>
        <w:rPr>
          <w:rFonts w:ascii="仿宋_GB2312" w:hAnsi="仿宋_GB2312" w:eastAsia="仿宋_GB2312"/>
          <w:b w:val="0"/>
          <w:sz w:val="32"/>
        </w:rPr>
        <w:t>比上年增加0.44万元，增长4.61%，主要原因是：本年因业务需求，增加公务接待工作，导致公务接待费较上年增加。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公务用车购置及运行维护费支出9.68万元，占96.99%，比上年增加0.14万元，增长1.47%，主要原因是：本单位公务用车日渐老化，维修维护成本增加，导致公务用车运行维护费较上年增加。</w:t>
      </w:r>
      <w:r>
        <w:rPr>
          <w:rFonts w:ascii="仿宋_GB2312" w:hAnsi="仿宋_GB2312" w:eastAsia="仿宋_GB2312"/>
          <w:b w:val="0"/>
          <w:sz w:val="32"/>
        </w:rPr>
        <w:t>公务接待费支出0.30万元，占3.01%，比上年增加0.30万元，增长100.00%，主要原因是：本年因业务需求，增加公务接待工作，导致公务接待费较上年增加。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9.68万元，其中：公务用车购置费0.00万元，公务用车运行维护费9.68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公务接待费0.30万元，开支内容包括接待福州援疆检察院考察调研、上级领导检查指导工作等产生的就餐费。单位全年安排的国内公务接待6批次，54人次。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9.98万元，决算数9.98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9.68万元，决算数9.68万元，预决算差异率0.00%，主要原因是：严格按照预算执行，预决算无差异。公务接待费全年预算数0.30万元，决算数0.30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2024年度奇台县人民检察院（行政单位和参照公务员法管理事业单位）机关运行经费支出89.77万元，比上年增加4.00万元，增长4.66%，主要原因是：.本年更新、维护补充办公用品，导致机关运行经费较上年增加。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2024年度政府采购支出总额16.24万元，其中：政府采购货物支出8.12万元、政府采购工程支出0.00万元、政府采购服务支出8.11万元。</w:t>
      </w:r>
    </w:p>
    <w:p>
      <w:pPr>
        <w:spacing w:line="580" w:lineRule="exact"/>
        <w:ind w:firstLine="640"/>
        <w:jc w:val="both"/>
      </w:pPr>
      <w:r>
        <w:rPr>
          <w:rFonts w:ascii="仿宋_GB2312" w:hAnsi="仿宋_GB2312" w:eastAsia="仿宋_GB2312"/>
          <w:b w:val="0"/>
          <w:sz w:val="32"/>
        </w:rPr>
        <w:t>授予中小企业合同金额16.24万元，占政府采购支出总额的100.00%，其中：授予小微企业合同金额16.24万元，占政府采购支出总额的100.00%。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3,276.64平方米，价值297.00万元。车辆8辆，价值138.99万元，其中：副部（省）级及以上领导用车0辆、主要负责人用车0辆、机要通信用车0辆、应急保障用车0辆、执法执勤用车4辆、特种专业技术用车0辆、离退休干部服务用车0辆、其他用车4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1,384.29万元，实际执行总额1,384.29万元；预算绩效评价项目2个，全年预算数83.00万元，全年执行数83.00万元。预算绩效管理取得的成效：一是提高预算绩效管理效率；二是绩效目标管理日益加强，绩效评价范围不断扩大，促进了财政资金使用效益的提高；三是预算绩效管理框架逐渐清晰，推动了预算绩效管理工作的有序开展。发现的问题及原因：一是预算绩效管理和内部控制割裂，原因是预算资金内部控制意识缺乏；二是绩效评价无法反映内部控制要求，原因是预算资金项目编制笼统，年度预算得不到严格有效执行。下一步改进措施：一是在项目决策中，建立并落实集体研究、技术咨询相结合的决策议事机制。二是项目执行后，及时采取必要措施，对于预算执行中发现的偏离绩效目标的情况，尽快纠偏。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奇台县人民检察院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330.70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330.70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956.79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973.59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973.59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1,213.79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1,384.29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1,384.29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更好服务经济社会高质量发展、推动检察工作自身高质量发展，为全面建设社会主义现代化国家提供有力司法保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1384.29万元，全年执行数为1384.29万元，总预算执行率为100%。2024年我单位完成以下工作内容：1.经费保障单位职工人数53人；2、案件办结案率达到95.5%；3、开展司法救助案件4件；4、提起公诉案件数量 226件；5、群众满意度达到100%。通过以上工作的实施，有效保障社会稳定和社会和谐。在护航经济社会高质量发展中展现检察担当，在“检护民生”专项活动中诠释检察情怀，坚持维护公平正义，在高质效办好每一个案件中彰显检察使命，在过硬检察队伍建设中锻造检察铁军。</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运行成本</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经费保障单位职工人数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奇台检察院2024年重点及亮点工作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管理效率</w:t>
            </w: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案件办结案率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奇台检察院2024年重点及亮点工作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开展司法救助案件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奇台检察院2024年重点及亮点工作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提起公诉案件数量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奇台检察院2024年重点及亮点工作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226件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奇台检察院2024年重点及亮点工作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关于申请拨付“庭州英才”人才计划2024年支持资金的项目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奇台县人民检察院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奇台县人民检察院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昌州财行【2024】11号文件，《关于下达昌吉州“庭州英才”人才计划支持资金的通知》，开展庭州法制人才计划项目，培养对象通过研究检察机关控告申诉检察工作的现状，结合新时代“枫桥经验”的内涵和要求，深入分析当前工作中存在的问题和不足，形成经验材料，为下一步控告申诉检察工作高质效发展提供一些思路。培养对象1人，培养对象任务完成率达到90%以上，培养对象考核指标完成及时率达到90%以上，庭州人才培养计划项目当年总成本小于等于3万元，该项目可以为控诉申诉检察工作高质效发展提供些许帮助，培养对象满意度达到95%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培养法治人才1人，培养对象任务完成率达到100%，项目于2024年12月3日完成，项目当年总成本3万元，其中培养对象个人补贴2万元，工作经费1万元，培养对象满意度达到95%；通过该项目的实施，培养对象在专业技能、创新思维等方面取得长足进步，提升了检察机关控告申诉检察工作的工作水平，为下一步控告申诉检察工作高质效发展提供帮助，促进了检察工作人才队伍建设。</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培养对象人数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培养对象任务完成合格率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年初指标设置偏差，培养对象按时高质量完成了人才培养任务，超预期完成目标任务，产生偏差。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人才个人补贴标准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为控诉申诉检察工作高质效发展提供帮助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培养对象满意度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97.80分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机关运行补助(自有资金)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奇台县人民检察院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奇台县人民检察院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以我院现阶段需求，该项目用于单位办公费支出等，结合我单位实际，我院开展机关运行补助项目,项目资金支持率大于等于90%，政府采购率大于等于90%，验收合格率大于等于90%，干警满意率大于等于80%,政府采购成本小于等于60万元，预算控制率小于等于90%；采购时间计划于2024年12月20日前完成。</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购买办公设备1台，开展司法救助案件数量4件，购买设备验收合格率达到100%，2024年11月28日完成采购设备，项目成本80万元，政府采购计划金额69万元，用于办公设施维护、能源消耗、办公耗材购置等，职工满意度达到90%；通过该项目的实施，提升了单位办公环境和条件，促进了经费使用效率的最大化，为机关工作的顺利开展提供了坚实的物质保障。</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开展司法救助案件数量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本年指标设定以上年完成情况为参考，本年因工作实际，需要实施司法救助的案件数量只有4件，故存在差异。</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因年初绩效目标设置偏差，本着高标准高要求的原则，严格把牢采购设备质量，验收合格率达到100%，故存在差异。</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采购设备完成时间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2024年10月28日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政府采购计划金额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提升办公设备水平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有所提升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项目实施进度快，质量高，得到广大职工的好评，满意度较高，超出预期，故产生偏差。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92.70分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本年本单位SM项目3个，全年预算数349.26万元，全年执行数349.26万元。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