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玛纳斯县人民法院2024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玛纳斯县人民法院是国家的审判机关，在县委和中级人民法院的指导下，依法独立行使审判权，对县人民代表大会及其常委会负责并报告工作。</w:t>
      </w:r>
    </w:p>
    <w:p>
      <w:pPr>
        <w:spacing w:line="580" w:lineRule="exact"/>
        <w:ind w:firstLine="640"/>
        <w:jc w:val="both"/>
      </w:pPr>
      <w:r>
        <w:rPr>
          <w:rFonts w:ascii="仿宋_GB2312" w:hAnsi="仿宋_GB2312" w:eastAsia="仿宋_GB2312"/>
          <w:sz w:val="32"/>
        </w:rPr>
        <w:t>（1）依法审理法律规定由基层人民法院管辖、中级人民法院指定管辖或者认为应当由本法院审理的刑事、民事、行政等一审案件。</w:t>
      </w:r>
    </w:p>
    <w:p>
      <w:pPr>
        <w:spacing w:line="580" w:lineRule="exact"/>
        <w:ind w:firstLine="640"/>
        <w:jc w:val="both"/>
      </w:pPr>
      <w:r>
        <w:rPr>
          <w:rFonts w:ascii="仿宋_GB2312" w:hAnsi="仿宋_GB2312" w:eastAsia="仿宋_GB2312"/>
          <w:sz w:val="32"/>
        </w:rPr>
        <w:t>（2）依法审理中级人民法院指定再审的案件和县人民检察院抗诉的案件。受理当事人不服本院发生法律效力的判决、裁定并提起申诉的刑事、行政诉讼案件。</w:t>
      </w:r>
    </w:p>
    <w:p>
      <w:pPr>
        <w:spacing w:line="580" w:lineRule="exact"/>
        <w:ind w:firstLine="640"/>
        <w:jc w:val="both"/>
      </w:pPr>
      <w:r>
        <w:rPr>
          <w:rFonts w:ascii="仿宋_GB2312" w:hAnsi="仿宋_GB2312" w:eastAsia="仿宋_GB2312"/>
          <w:sz w:val="32"/>
        </w:rPr>
        <w:t>（3）依法行使执行权和司法决定权。</w:t>
      </w:r>
    </w:p>
    <w:p>
      <w:pPr>
        <w:spacing w:line="580" w:lineRule="exact"/>
        <w:ind w:firstLine="640"/>
        <w:jc w:val="both"/>
      </w:pPr>
      <w:r>
        <w:rPr>
          <w:rFonts w:ascii="仿宋_GB2312" w:hAnsi="仿宋_GB2312" w:eastAsia="仿宋_GB2312"/>
          <w:sz w:val="32"/>
        </w:rPr>
        <w:t>（4）对法律规定、规章等草案提出意见，对案件审理中发现的问题提出司法建议。</w:t>
      </w:r>
    </w:p>
    <w:p>
      <w:pPr>
        <w:spacing w:line="580" w:lineRule="exact"/>
        <w:ind w:firstLine="640"/>
        <w:jc w:val="both"/>
      </w:pPr>
      <w:r>
        <w:rPr>
          <w:rFonts w:ascii="仿宋_GB2312" w:hAnsi="仿宋_GB2312" w:eastAsia="仿宋_GB2312"/>
          <w:sz w:val="32"/>
        </w:rPr>
        <w:t>（5）指导基层法庭工作。</w:t>
      </w:r>
    </w:p>
    <w:p>
      <w:pPr>
        <w:spacing w:line="580" w:lineRule="exact"/>
        <w:ind w:firstLine="640"/>
        <w:jc w:val="both"/>
      </w:pPr>
      <w:r>
        <w:rPr>
          <w:rFonts w:ascii="仿宋_GB2312" w:hAnsi="仿宋_GB2312" w:eastAsia="仿宋_GB2312"/>
          <w:sz w:val="32"/>
        </w:rPr>
        <w:t>（6）负责全院的思想政治、教育培训工作和干部管理工作。</w:t>
      </w:r>
    </w:p>
    <w:p>
      <w:pPr>
        <w:spacing w:line="580" w:lineRule="exact"/>
        <w:ind w:firstLine="640"/>
        <w:jc w:val="both"/>
      </w:pPr>
      <w:r>
        <w:rPr>
          <w:rFonts w:ascii="仿宋_GB2312" w:hAnsi="仿宋_GB2312" w:eastAsia="仿宋_GB2312"/>
          <w:sz w:val="32"/>
        </w:rPr>
        <w:t>（7）负责全院财务、专项投资的计划管理及分配。</w:t>
      </w:r>
    </w:p>
    <w:p>
      <w:pPr>
        <w:spacing w:line="580" w:lineRule="exact"/>
        <w:ind w:firstLine="640"/>
        <w:jc w:val="both"/>
      </w:pPr>
      <w:r>
        <w:rPr>
          <w:rFonts w:ascii="仿宋_GB2312" w:hAnsi="仿宋_GB2312" w:eastAsia="仿宋_GB2312"/>
          <w:sz w:val="32"/>
        </w:rPr>
        <w:t>（8）负责全院的监察工作。</w:t>
      </w:r>
    </w:p>
    <w:p>
      <w:pPr>
        <w:spacing w:line="580" w:lineRule="exact"/>
        <w:ind w:firstLine="640"/>
        <w:jc w:val="both"/>
      </w:pPr>
      <w:r>
        <w:rPr>
          <w:rFonts w:ascii="仿宋_GB2312" w:hAnsi="仿宋_GB2312" w:eastAsia="仿宋_GB2312"/>
          <w:sz w:val="32"/>
        </w:rPr>
        <w:t>（9）管理人民法院司法警察工作。</w:t>
      </w:r>
    </w:p>
    <w:p>
      <w:pPr>
        <w:spacing w:line="580" w:lineRule="exact"/>
        <w:ind w:firstLine="640"/>
        <w:jc w:val="both"/>
      </w:pPr>
      <w:r>
        <w:rPr>
          <w:rFonts w:ascii="仿宋_GB2312" w:hAnsi="仿宋_GB2312" w:eastAsia="仿宋_GB2312"/>
          <w:sz w:val="32"/>
        </w:rPr>
        <w:t>（10）做好本院行政、后勤事业管理和服务工作。</w:t>
      </w:r>
    </w:p>
    <w:p>
      <w:pPr>
        <w:spacing w:line="580" w:lineRule="exact"/>
        <w:ind w:firstLine="640"/>
        <w:jc w:val="both"/>
      </w:pPr>
      <w:r>
        <w:rPr>
          <w:rFonts w:ascii="仿宋_GB2312" w:hAnsi="仿宋_GB2312" w:eastAsia="仿宋_GB2312"/>
          <w:sz w:val="32"/>
        </w:rPr>
        <w:t>（11）宣传法制，教育公民忠于社会主义祖国，自觉遵守宪法、法律和社会公德。</w:t>
      </w:r>
    </w:p>
    <w:p>
      <w:pPr>
        <w:spacing w:line="580" w:lineRule="exact"/>
        <w:ind w:firstLine="640"/>
        <w:jc w:val="both"/>
      </w:pPr>
      <w:r>
        <w:rPr>
          <w:rFonts w:ascii="仿宋_GB2312" w:hAnsi="仿宋_GB2312" w:eastAsia="仿宋_GB2312"/>
          <w:sz w:val="32"/>
        </w:rPr>
        <w:t>（12）积极参与社会治安综合治理。</w:t>
      </w:r>
    </w:p>
    <w:p>
      <w:pPr>
        <w:spacing w:line="580" w:lineRule="exact"/>
        <w:ind w:firstLine="640"/>
        <w:jc w:val="both"/>
      </w:pPr>
      <w:r>
        <w:rPr>
          <w:rFonts w:ascii="仿宋_GB2312" w:hAnsi="仿宋_GB2312" w:eastAsia="仿宋_GB2312"/>
          <w:sz w:val="32"/>
        </w:rPr>
        <w:t>（13）承办其它应由基层人民法院负责的工作。</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玛纳斯县人民法院2024年度，实有人数119人，其中：在职人员77人，增加1人；离休人员0人，增加0人；退休人员42人,增加0人。</w:t>
      </w:r>
    </w:p>
    <w:p>
      <w:pPr>
        <w:spacing w:line="580" w:lineRule="exact"/>
        <w:ind w:firstLine="640"/>
        <w:jc w:val="both"/>
      </w:pPr>
      <w:r>
        <w:rPr>
          <w:rFonts w:ascii="仿宋_GB2312" w:hAnsi="仿宋_GB2312" w:eastAsia="仿宋_GB2312"/>
          <w:sz w:val="32"/>
        </w:rPr>
        <w:t>玛纳斯县人民法院无下属预算单位，下设9个科室，分别是：立案庭(诉讼服务中心)、刑事审判庭、民事审判庭、行政审判庭(综合审判庭)、执行局、政治部(机关党委)、综合办公室(司法警察大队)、审判管理办公室(研究室)、北五岔人民法庭。</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2024年度收入总计2,788.31万元，</w:t>
      </w:r>
      <w:r>
        <w:rPr>
          <w:rFonts w:ascii="仿宋_GB2312" w:hAnsi="仿宋_GB2312" w:eastAsia="仿宋_GB2312"/>
          <w:b w:val="0"/>
          <w:sz w:val="32"/>
        </w:rPr>
        <w:t>其中：本年收入合计2,579.12万元，使用非财政拨款结余（含专用结余）0.00万元，年初结转和结余209.19万元。</w:t>
      </w:r>
    </w:p>
    <w:p>
      <w:pPr>
        <w:spacing w:line="580" w:lineRule="exact"/>
        <w:ind w:firstLine="640"/>
        <w:jc w:val="both"/>
      </w:pPr>
      <w:r>
        <w:rPr>
          <w:rFonts w:ascii="仿宋_GB2312" w:hAnsi="仿宋_GB2312" w:eastAsia="仿宋_GB2312"/>
          <w:b/>
          <w:sz w:val="32"/>
        </w:rPr>
        <w:t>2024年度支出总计2,788.31万元，</w:t>
      </w:r>
      <w:r>
        <w:rPr>
          <w:rFonts w:ascii="仿宋_GB2312" w:hAnsi="仿宋_GB2312" w:eastAsia="仿宋_GB2312"/>
          <w:b w:val="0"/>
          <w:sz w:val="32"/>
        </w:rPr>
        <w:t>其中：本年支出合计2,678.59万元，结余分配0.00万元，年末结转和结余109.72万元。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增加70.00万元，增长2.58%，主要原因是：本年在职人员工资调增，社保、公积金基数调增，人员经费增加。本年中央政法转移支付资金项目资金较上年增加。</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本年收入2,579.12万元，</w:t>
      </w:r>
      <w:r>
        <w:rPr>
          <w:rFonts w:ascii="仿宋_GB2312" w:hAnsi="仿宋_GB2312" w:eastAsia="仿宋_GB2312"/>
          <w:b w:val="0"/>
          <w:sz w:val="32"/>
        </w:rPr>
        <w:t>其中：财政拨款收入2,517.54万元，占97.61%；上级补助收入0.00万元，占0.00%；事业收入0.00万元，占0.00%；经营收入0.00万元，占0.00%；附属单位上缴收入0.00万元，占0.00%；其他收入61.58万元，占2.39%。</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本年支出2,678.59万元，</w:t>
      </w:r>
      <w:r>
        <w:rPr>
          <w:rFonts w:ascii="仿宋_GB2312" w:hAnsi="仿宋_GB2312" w:eastAsia="仿宋_GB2312"/>
          <w:b w:val="0"/>
          <w:sz w:val="32"/>
        </w:rPr>
        <w:t>其中：基本支出2,003.45万元，占74.79%；项目支出675.14万元，占25.21%；上缴上级支出0.00万元，占0.00%；经营支出0.00万元，占0.00%；对附属单位补助支出0.00万元，占0.00%。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2024年度财政拨款收入总计2,517.54万元，</w:t>
      </w:r>
      <w:r>
        <w:rPr>
          <w:rFonts w:ascii="仿宋_GB2312" w:hAnsi="仿宋_GB2312" w:eastAsia="仿宋_GB2312"/>
          <w:b w:val="0"/>
          <w:sz w:val="32"/>
        </w:rPr>
        <w:t>其中：年初财政拨款结转和结余0.00万元，本年财政拨款收入2,517.54万元。</w:t>
      </w:r>
      <w:r>
        <w:rPr>
          <w:rFonts w:ascii="仿宋_GB2312" w:hAnsi="仿宋_GB2312" w:eastAsia="仿宋_GB2312"/>
          <w:b/>
          <w:sz w:val="32"/>
        </w:rPr>
        <w:t>财政拨款支出总计2,517.54万元，</w:t>
      </w:r>
      <w:r>
        <w:rPr>
          <w:rFonts w:ascii="仿宋_GB2312" w:hAnsi="仿宋_GB2312" w:eastAsia="仿宋_GB2312"/>
          <w:b w:val="0"/>
          <w:sz w:val="32"/>
        </w:rPr>
        <w:t>其中：年末财政拨款结转和结余0.00万元，本年财政拨款支出2,517.54万元。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增加109.95万元，增长4.57%，主要原因是：本年在职人员工资调增，社保、公积金基数调增，人员经费增加。本年中央政法转移支付资金项目资金较上年增加。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2,349.98万元，决算数2,517.54万元，预决算差异率7.13%，主要原因是：1.本年在职人员增加，年中追加人员经费及人员工资、社保、公积金基数调增部分资金，导致预决算存在差异。2.年中追加为民办实事经费项目，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2024年度一般公共预算财政拨款支出2,517.54万元，</w:t>
      </w:r>
      <w:r>
        <w:rPr>
          <w:rFonts w:ascii="仿宋_GB2312" w:hAnsi="仿宋_GB2312" w:eastAsia="仿宋_GB2312"/>
          <w:b w:val="0"/>
          <w:sz w:val="32"/>
        </w:rPr>
        <w:t>占本年支出合计的93.99%。</w:t>
      </w:r>
      <w:r>
        <w:rPr>
          <w:rFonts w:ascii="仿宋_GB2312" w:hAnsi="仿宋_GB2312" w:eastAsia="仿宋_GB2312"/>
          <w:b/>
          <w:sz w:val="32"/>
        </w:rPr>
        <w:t>与上年相比，</w:t>
      </w:r>
      <w:r>
        <w:rPr>
          <w:rFonts w:ascii="仿宋_GB2312" w:hAnsi="仿宋_GB2312" w:eastAsia="仿宋_GB2312"/>
          <w:b w:val="0"/>
          <w:sz w:val="32"/>
        </w:rPr>
        <w:t>增加109.95万元，增长4.57%，主要原因是：本年在职人员工资调增，社保、公积金基数调增，人员经费增加。本年中央政法转移支付资金项目资金较上年增加。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2,349.98万元，决算数2,517.54万元，预决算差异率7.13%，主要原因是：1.本年在职人员增加，年中追加人员经费及人员工资、社保、公积金基数调增部分资金，导致预决算存在差异。2.年中追加为民办实事经费项目，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1.一般公共服务支出(类)2.15万元,占0.09%。</w:t>
      </w:r>
    </w:p>
    <w:p>
      <w:pPr>
        <w:spacing w:line="580" w:lineRule="exact"/>
        <w:ind w:firstLine="640"/>
        <w:jc w:val="both"/>
      </w:pPr>
      <w:r>
        <w:rPr>
          <w:rFonts w:ascii="仿宋_GB2312" w:hAnsi="仿宋_GB2312" w:eastAsia="仿宋_GB2312"/>
          <w:b w:val="0"/>
          <w:sz w:val="32"/>
        </w:rPr>
        <w:t>2.公共安全支出(类)2,074.78万元,占82.41%。</w:t>
      </w:r>
    </w:p>
    <w:p>
      <w:pPr>
        <w:spacing w:line="580" w:lineRule="exact"/>
        <w:ind w:firstLine="640"/>
        <w:jc w:val="both"/>
      </w:pPr>
      <w:r>
        <w:rPr>
          <w:rFonts w:ascii="仿宋_GB2312" w:hAnsi="仿宋_GB2312" w:eastAsia="仿宋_GB2312"/>
          <w:b w:val="0"/>
          <w:sz w:val="32"/>
        </w:rPr>
        <w:t>3.社会保障和就业支出(类)231.10万元,占9.18%。</w:t>
      </w:r>
    </w:p>
    <w:p>
      <w:pPr>
        <w:spacing w:line="580" w:lineRule="exact"/>
        <w:ind w:firstLine="640"/>
        <w:jc w:val="both"/>
      </w:pPr>
      <w:r>
        <w:rPr>
          <w:rFonts w:ascii="仿宋_GB2312" w:hAnsi="仿宋_GB2312" w:eastAsia="仿宋_GB2312"/>
          <w:b w:val="0"/>
          <w:sz w:val="32"/>
        </w:rPr>
        <w:t>4.卫生健康支出(类)72.94万元,占2.90%。</w:t>
      </w:r>
    </w:p>
    <w:p>
      <w:pPr>
        <w:spacing w:line="580" w:lineRule="exact"/>
        <w:ind w:firstLine="640"/>
        <w:jc w:val="both"/>
      </w:pPr>
      <w:r>
        <w:rPr>
          <w:rFonts w:ascii="仿宋_GB2312" w:hAnsi="仿宋_GB2312" w:eastAsia="仿宋_GB2312"/>
          <w:b w:val="0"/>
          <w:sz w:val="32"/>
        </w:rPr>
        <w:t>5.住房保障支出(类)111.87万元,占4.44%。</w:t>
      </w:r>
    </w:p>
    <w:p>
      <w:pPr>
        <w:spacing w:line="580" w:lineRule="exact"/>
        <w:ind w:firstLine="640"/>
        <w:jc w:val="both"/>
      </w:pPr>
      <w:r>
        <w:rPr>
          <w:rFonts w:ascii="仿宋_GB2312" w:hAnsi="仿宋_GB2312" w:eastAsia="仿宋_GB2312"/>
          <w:b w:val="0"/>
          <w:sz w:val="32"/>
        </w:rPr>
        <w:t>6.其他支出(类)24.69万元,占0.98%。</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1.一般公共服务支出(类)信访事务(款)信访业务(项):支出决算数为2.15万元，比上年决算增加2.15万元，增长100.00%,主要原因是：本年新增清理重复信访，化解信访疑难案件资金。</w:t>
      </w:r>
    </w:p>
    <w:p>
      <w:pPr>
        <w:spacing w:line="580" w:lineRule="exact"/>
        <w:ind w:firstLine="640"/>
        <w:jc w:val="both"/>
      </w:pPr>
      <w:r>
        <w:rPr>
          <w:rFonts w:ascii="仿宋_GB2312" w:hAnsi="仿宋_GB2312" w:eastAsia="仿宋_GB2312"/>
          <w:b w:val="0"/>
          <w:sz w:val="32"/>
        </w:rPr>
        <w:t>2.公共安全支出(类)法院(款)行政运行(项):支出决算数为1,583.91万元，比上年决算增加121.50万元，增长8.31%,主要原因是：本年在职人员工资调增，相关人员经费增加。</w:t>
      </w:r>
    </w:p>
    <w:p>
      <w:pPr>
        <w:spacing w:line="580" w:lineRule="exact"/>
        <w:ind w:firstLine="640"/>
        <w:jc w:val="both"/>
      </w:pPr>
      <w:r>
        <w:rPr>
          <w:rFonts w:ascii="仿宋_GB2312" w:hAnsi="仿宋_GB2312" w:eastAsia="仿宋_GB2312"/>
          <w:b w:val="0"/>
          <w:sz w:val="32"/>
        </w:rPr>
        <w:t>3.公共安全支出(类)法院(款)一般行政管理事务(项):支出决算数为34.63万元，比上年决算减少97.57万元，下降73.80%,主要原因是：本年减少化解欠款资金及统一采购电脑项目。</w:t>
      </w:r>
    </w:p>
    <w:p>
      <w:pPr>
        <w:spacing w:line="580" w:lineRule="exact"/>
        <w:ind w:firstLine="640"/>
        <w:jc w:val="both"/>
      </w:pPr>
      <w:r>
        <w:rPr>
          <w:rFonts w:ascii="仿宋_GB2312" w:hAnsi="仿宋_GB2312" w:eastAsia="仿宋_GB2312"/>
          <w:b w:val="0"/>
          <w:sz w:val="32"/>
        </w:rPr>
        <w:t>4.公共安全支出(类)法院(款)“两庭”建设(项):支出决算数为0.00万元，比上年决算减少170.00万元，下降100.00%,主要原因是：本年减少两庭建设资金。</w:t>
      </w:r>
    </w:p>
    <w:p>
      <w:pPr>
        <w:spacing w:line="580" w:lineRule="exact"/>
        <w:ind w:firstLine="640"/>
        <w:jc w:val="both"/>
      </w:pPr>
      <w:r>
        <w:rPr>
          <w:rFonts w:ascii="仿宋_GB2312" w:hAnsi="仿宋_GB2312" w:eastAsia="仿宋_GB2312"/>
          <w:b w:val="0"/>
          <w:sz w:val="32"/>
        </w:rPr>
        <w:t>5.公共安全支出(类)法院(款)其他法院支出(项):支出决算数为456.25万元，比上年决算增加207.77万元，增长83.62%,主要原因是：本年增加中央政法转移支付资金。</w:t>
      </w:r>
    </w:p>
    <w:p>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6.社会保障和就业支出(类)行政事业单位养老支出(款)行政单位离退休(项):支出决算数为26.55万元，比上年决算增加11.29万元，增长73.98%,主要原因是：本年增加退休人员基础绩效奖，退休费支出增加。</w:t>
      </w:r>
    </w:p>
    <w:p>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136.61万元，比上年决算增加20.71万元，增长17.87%,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67.95万元，比上年决算增加3.18万元，增长4.91%,主要原因是：本年在职人员工资基数调增，社保基数上涨，职业年金缴费支出增加。</w:t>
      </w:r>
    </w:p>
    <w:p>
      <w:pPr>
        <w:spacing w:line="580" w:lineRule="exact"/>
        <w:ind w:firstLine="640"/>
        <w:jc w:val="both"/>
      </w:pPr>
      <w:r>
        <w:rPr>
          <w:rFonts w:ascii="仿宋_GB2312" w:hAnsi="仿宋_GB2312" w:eastAsia="仿宋_GB2312"/>
          <w:b w:val="0"/>
          <w:sz w:val="32"/>
        </w:rPr>
        <w:t>9.卫生健康支出(类)行政事业单位医疗(款)行政单位医疗(项):支出决算数为68.23万元，比上年决算增加3.71万元，增长5.75%,主要原因是：本年在职人员工资基数调增，医疗缴费基数上涨，相应支出增加。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10.卫生健康支出(类)行政事业单位医疗(款)公务员医疗补助(项):支出决算数为4.25万元，比上年决算增加0.12万元，增长2.91%,主要原因是：本年在职人员工资基数调增，医疗缴费基数上涨，相应支出增加。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0.46万元，比上年决算减少0.21万元，下降31.34%,主要原因是：因退休人员医疗保险制度改革，退休人员基本医疗不再由单位缴纳，导致经费较上年减少。</w:t>
      </w:r>
    </w:p>
    <w:p>
      <w:pPr>
        <w:spacing w:line="580" w:lineRule="exact"/>
        <w:ind w:firstLine="640"/>
        <w:jc w:val="both"/>
      </w:pPr>
      <w:r>
        <w:rPr>
          <w:rFonts w:ascii="仿宋_GB2312" w:hAnsi="仿宋_GB2312" w:eastAsia="仿宋_GB2312"/>
          <w:b w:val="0"/>
          <w:sz w:val="32"/>
        </w:rPr>
        <w:t>12.住房保障支出(类)住房改革支出(款)住房公积金(项):支出决算数为111.87万元，比上年决算减少0.60万元，下降0.53%,主要原因是：本年在职人员调入调出，人员职级不同，缴费基数不同，导致住房公积金较上年减少。</w:t>
      </w:r>
    </w:p>
    <w:p>
      <w:pPr>
        <w:spacing w:line="580" w:lineRule="exact"/>
        <w:ind w:firstLine="640"/>
        <w:jc w:val="both"/>
      </w:pPr>
      <w:r>
        <w:rPr>
          <w:rFonts w:ascii="仿宋_GB2312" w:hAnsi="仿宋_GB2312" w:eastAsia="仿宋_GB2312"/>
          <w:b w:val="0"/>
          <w:sz w:val="32"/>
        </w:rPr>
        <w:t>13.其他支出(类)其他支出(款)其他支出(项):支出决算数为24.69万元，比上年决算增加7.92万元，增长47.23%,主要原因是：本年为民办实事经费资金较上年增加。</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2024年度一般公共预算财政拨款基本支出2,003.45万元，其中：</w:t>
      </w:r>
      <w:r>
        <w:rPr>
          <w:rFonts w:ascii="仿宋_GB2312" w:hAnsi="仿宋_GB2312" w:eastAsia="仿宋_GB2312"/>
          <w:b/>
          <w:sz w:val="32"/>
        </w:rPr>
        <w:t>人员经费1,798.22万元，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生活补助、奖励金。</w:t>
      </w:r>
    </w:p>
    <w:p>
      <w:pPr>
        <w:spacing w:line="580" w:lineRule="exact"/>
        <w:ind w:firstLine="640"/>
        <w:jc w:val="both"/>
      </w:pPr>
      <w:r>
        <w:rPr>
          <w:rFonts w:ascii="仿宋_GB2312" w:hAnsi="仿宋_GB2312" w:eastAsia="仿宋_GB2312"/>
          <w:b/>
          <w:sz w:val="32"/>
        </w:rPr>
        <w:t>公用经费205.23万元，</w:t>
      </w:r>
      <w:r>
        <w:rPr>
          <w:rFonts w:ascii="仿宋_GB2312" w:hAnsi="仿宋_GB2312" w:eastAsia="仿宋_GB2312"/>
          <w:b w:val="0"/>
          <w:sz w:val="32"/>
        </w:rPr>
        <w:t>包括：办公费、印刷费、手续费、水费、电费、取暖费、物业管理费、维修（护）费、租赁费、公务接待费、劳务费、工会经费、福利费、公务用车运行维护费、其他商品和服务支出。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2024年度财政拨款“三公”经费支出35.60万元，</w:t>
      </w:r>
      <w:r>
        <w:rPr>
          <w:rFonts w:ascii="仿宋_GB2312" w:hAnsi="仿宋_GB2312" w:eastAsia="仿宋_GB2312"/>
          <w:b w:val="0"/>
          <w:sz w:val="32"/>
        </w:rPr>
        <w:t>比上年增加0.46万元，增长1.31%，主要原因是：本年因业务需求，接待人次较上年增加，导致公务接待费较上年增加。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公务用车购置及运行维护费支出35.00万元，占98.31%，比上年增加0.00万元，增长0.00%，主要原因是：我单位公务用车运行维护费与上年一致无变化。</w:t>
      </w:r>
      <w:r>
        <w:rPr>
          <w:rFonts w:ascii="仿宋_GB2312" w:hAnsi="仿宋_GB2312" w:eastAsia="仿宋_GB2312"/>
          <w:b w:val="0"/>
          <w:sz w:val="32"/>
        </w:rPr>
        <w:t>公务接待费支出0.60万元，占1.69%，比上年增加0.46万元，增长328.57%，主要原因是：本年因业务需求，接待人次较上年增加，导致公务接待费较上年增加。</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35.00万元，其中：公务用车购置费0.00万元，公务用车运行维护费35.00万元。公务用车运行维护费开支内容包括车辆加油费、维修费、保险费、审车费、过路费等。公务用车购置数0辆，公务用车保有量19辆。国有资产占用情况中固定资产车辆19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公务接待费0.60万元，开支内容包括接待法官学院及援疆工作考察交流学习产生的就餐费。单位全年安排的国内公务接待2批次，78人次。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35.60万元，决算数35.60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35.00万元，决算数35.00万元，预决算差异率0.00%，主要原因是：严格按照预算执行，预决算无差异。公务接待费全年预算数0.60万元，决算数0.60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2024年度玛纳斯县人民法院（行政单位和参照公务员法管理事业单位）机关运行经费支出205.23万元，比上年增加57.34万元，增长38.77%，主要原因是：本年增加办公经费，劳务费，导致机关运行经费较上年增加。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2024年度政府采购支出总额43.01万元，其中：政府采购货物支出25.26万元、政府采购工程支出0.30万元、政府采购服务支出17.45万元。</w:t>
      </w:r>
    </w:p>
    <w:p>
      <w:pPr>
        <w:spacing w:line="580" w:lineRule="exact"/>
        <w:ind w:firstLine="640"/>
        <w:jc w:val="both"/>
      </w:pPr>
      <w:r>
        <w:rPr>
          <w:rFonts w:ascii="仿宋_GB2312" w:hAnsi="仿宋_GB2312" w:eastAsia="仿宋_GB2312"/>
          <w:b w:val="0"/>
          <w:sz w:val="32"/>
        </w:rPr>
        <w:t>授予中小企业合同金额43.01万元，占政府采购支出总额的100.00%，其中：授予小微企业合同金额43.01万元，占政府采购支出总额的100.00%。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16,583.25平方米，价值4,851.95万元。车辆19辆，价值276.68万元，其中：副部（省）级及以上领导用车0辆、主要负责人用车0辆、机要通信用车0辆、应急保障用车0辆、执法执勤用车13辆、特种专业技术用车4辆、离退休干部服务用车0辆、其他用车2辆，其他用车主要是：一般公务用车。单价100万元（含）以上设备（不含车辆）1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2,837.68万元，实际执行总额2,678.59万元；预算绩效评价项目2个，全年预算数76.62万元，全年执行数76.62万元。预算绩效管理取得的成效：一是在法定审限内结案，增加案件审判的透明度，促进社会公平正义；二是保障了审判法庭各类设备，当事人对案件审判工作满意度提升，保护人民群众合法权益，促进经济社会健康发展，维护社会公平正义。发现的问题及原因：一是案件数量逐年增长，疑难复杂案件不断增多，化解矛盾纠纷的难度不断加大，审判工作出现一些困难；二是部分审判设备老化，不能适应现有工作需求，影响工作效率。下一步改进措施：一是优化审判资源配置，强化能力建设，激发队伍内生动力；二是加快设备更新，保障审判工作顺利开展。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玛纳斯县人民法院</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456.25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436.24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94.39%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9.44</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2,349.98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2,110.66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2,081.29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209.19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270.77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161.06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2,559.17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2,837.68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2,678.59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目标一：履行审判执行工作职能，依法受理、审、执案件，努力让人民群众在每一个司法案件中感受到公平正义，保障法院依审判执行中心工作顺利开展；目标二：提升法院装备，提高法院刑事案件，民商事案件，行政案件等案件审判公平正义，坚持司法为民，公正司法，保护人民群众合法权益。</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2,837.68万元，全年执行数2,678.59万元，执行率94.39%，2024年实际完成受理案件数量为7537件、审结案件数量为7023件、互联网公布裁判文书数量1365件、民商事案件调节案件率38.86%、同期结收比为101.09、案件执行结案率案件执行结案率为91.49%、法定审限内结案率99.92%、平均时间审理指数64.13%，整体完成年初目标。</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受理案件数量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&gt;=7700件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《玛纳斯县人民法院关于贯彻落实全区人民法院工作会议精神的任务分解方案》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9626件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审结案件数量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&gt;=7400件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《玛纳斯县人民法院关于贯彻落实全区人民法院工作会议精神的任务分解方案》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9626件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互联网公布裁判文书数量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&gt;=2000件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《玛纳斯县人民法院关于贯彻落实全区人民法院工作会议精神的任务分解方案》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1365件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10.24</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民商事案件调节案件率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《玛纳斯县人民法院关于贯彻落实全区人民法院工作会议精神的任务分解方案》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38.86%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9.71</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同期结收比</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《玛纳斯县人民法院关于贯彻落实全区人民法院工作会议精神的任务分解方案》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101.09%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案件执行结案率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《玛纳斯县人民法院关于贯彻落实全区人民法院工作会议精神《玛纳斯县人民法院关于贯彻落实全区人民法院工作会议精神的任务分解方案》的任务分解方案》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91.49%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法定审限内结案率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《玛纳斯县人民法院关于贯彻落实全区人民法院工作会议精神的任务分解方案》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99.92%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平均时间审理指数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《玛纳斯县人民法院关于贯彻落实全区人民法院工作会议精神的任务分解方案》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64.13%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7.13</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北五岔人民法庭智慧法庭</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玛纳斯县人民法院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玛纳斯县人民法院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34.63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34.63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34.63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34.63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完成北五岔法庭信息化设备采购，提高法院信息化整体运用水平，推进智慧法院项目实施，保障北五岔镇人民法庭案件审判工作能够顺利开展，保障业务办案及正常办公顺利进行。</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截至2024年12月31日，该项目实际购置1套设备，购置信息系统应用，项目在2024年11月8日完成收尾，预算资金控制在34.63万，设备使用率达到100%，有效保障了审判服务工作。干警满意度达到95%。</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设备购置数量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信息系统应用数量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设备调试安装合格率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2024年11月8日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项目预算控制率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设备使用率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有效保障审判服务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干警满意度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偏差主要是在干警满意度这一条指标，目标设置较低，完成较高。</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99.47分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机关运行费补助（自有资金）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玛纳斯县人民法院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玛纳斯县人民法院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89.99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41.99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41.99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89.99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41.99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41.99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为保证基层人民法院履行职能的经费需要，项目总投资41.99万元，该项目用于购置办公用品及书记员办公经费等日常经费支出的补充，保障案件审判工作能够顺利开展，保障业务办案及正常办公顺利进行。</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购买设备2个，聘请2个劳务派遣人员，设备验收合格率达到100%，设备购置成本10万元，维修维护成本为5.49万元，委托业务费成本为24万元，办公费用为2.5万元，预算资资金已全部支付完毕，支付率100%，民事调解率达到39.07%，干警满意度达到100%。</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设备购置数量（个）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聘请劳务人员数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目标设置过于保守，实际经费有2个人从该项目资金支付</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设备购买完成时间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2024年3月20日前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2024年3月14日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设备购置成本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维修维护费成本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&lt;=5.49万元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=5.49万元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委托业务费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民事案件调解数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=39.07%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100.17%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19.97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干警对保障情况的满意度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目标设置保守，实际完成值达到100%。</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89.97分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本年本单位SM项目3个，全年预算数500.72万元，全年执行数500.72万元。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