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吉木萨尔县人民法院2024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bookmarkStart w:id="0" w:name="_GoBack"/>
      <w:bookmarkEnd w:id="0"/>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单位概况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吉木萨尔县人民法院是党领导下国家的审判机关，对县人民代表大会及其常委会负责并报告工作，接受上级人民法院的监督和业务指导，其主要职责是。</w:t>
      </w:r>
    </w:p>
    <w:p>
      <w:pPr>
        <w:spacing w:line="580" w:lineRule="exact"/>
        <w:ind w:firstLine="640"/>
        <w:jc w:val="both"/>
      </w:pPr>
      <w:r>
        <w:rPr>
          <w:rFonts w:ascii="仿宋_GB2312" w:hAnsi="仿宋_GB2312" w:eastAsia="仿宋_GB2312"/>
          <w:sz w:val="32"/>
        </w:rPr>
        <w:t>（一）审判法律规定由县人民法院管辖的刑事、民事、行政案件。</w:t>
      </w:r>
    </w:p>
    <w:p>
      <w:pPr>
        <w:spacing w:line="580" w:lineRule="exact"/>
        <w:ind w:firstLine="640"/>
        <w:jc w:val="both"/>
      </w:pPr>
      <w:r>
        <w:rPr>
          <w:rFonts w:ascii="仿宋_GB2312" w:hAnsi="仿宋_GB2312" w:eastAsia="仿宋_GB2312"/>
          <w:sz w:val="32"/>
        </w:rPr>
        <w:t>（二）审理由上级人民法院指定管辖的刑事、民事、行政案件。</w:t>
      </w:r>
    </w:p>
    <w:p>
      <w:pPr>
        <w:spacing w:line="580" w:lineRule="exact"/>
        <w:ind w:firstLine="640"/>
        <w:jc w:val="both"/>
      </w:pPr>
      <w:r>
        <w:rPr>
          <w:rFonts w:ascii="仿宋_GB2312" w:hAnsi="仿宋_GB2312" w:eastAsia="仿宋_GB2312"/>
          <w:sz w:val="32"/>
        </w:rPr>
        <w:t>（三）审理由上级人民法院交办的再审案件。</w:t>
      </w:r>
    </w:p>
    <w:p>
      <w:pPr>
        <w:spacing w:line="580" w:lineRule="exact"/>
        <w:ind w:firstLine="640"/>
        <w:jc w:val="both"/>
      </w:pPr>
      <w:r>
        <w:rPr>
          <w:rFonts w:ascii="仿宋_GB2312" w:hAnsi="仿宋_GB2312" w:eastAsia="仿宋_GB2312"/>
          <w:sz w:val="32"/>
        </w:rPr>
        <w:t>（四）依法行使司法执行权和司法决定权。</w:t>
      </w:r>
    </w:p>
    <w:p>
      <w:pPr>
        <w:spacing w:line="580" w:lineRule="exact"/>
        <w:ind w:firstLine="640"/>
        <w:jc w:val="both"/>
      </w:pPr>
      <w:r>
        <w:rPr>
          <w:rFonts w:ascii="仿宋_GB2312" w:hAnsi="仿宋_GB2312" w:eastAsia="仿宋_GB2312"/>
          <w:sz w:val="32"/>
        </w:rPr>
        <w:t>（五）在审判工作中宣传法制、教育公民自觉遵守宪法、法律。</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吉木萨尔县人民法院2024年度，实有人数93人，其中：在职人员65人，增加1人；离休人员0人，增加0人；退休人员28人,增加1人。</w:t>
      </w:r>
    </w:p>
    <w:p>
      <w:pPr>
        <w:spacing w:line="580" w:lineRule="exact"/>
        <w:ind w:firstLine="640"/>
        <w:jc w:val="both"/>
      </w:pPr>
      <w:r>
        <w:rPr>
          <w:rFonts w:ascii="仿宋_GB2312" w:hAnsi="仿宋_GB2312" w:eastAsia="仿宋_GB2312"/>
          <w:sz w:val="32"/>
        </w:rPr>
        <w:t>吉木萨尔县人民法院无下属预算单位，下设11个科室，分别是：立案庭、刑事审判庭、民事审判庭、行政审判庭、执行局、审判管理办公室、政治部、综合办公室、三台人民法庭、大有人民法庭、五彩湾人民法庭。</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2024年度收入总计2,222.63万元，</w:t>
      </w:r>
      <w:r>
        <w:rPr>
          <w:rFonts w:ascii="仿宋_GB2312" w:hAnsi="仿宋_GB2312" w:eastAsia="仿宋_GB2312"/>
          <w:b w:val="0"/>
          <w:sz w:val="32"/>
        </w:rPr>
        <w:t>其中：本年收入合计2,172.81万元，使用非财政拨款结余（含专用结余）0.00万元，年初结转和结余49.81万元。</w:t>
      </w:r>
    </w:p>
    <w:p>
      <w:pPr>
        <w:spacing w:line="580" w:lineRule="exact"/>
        <w:ind w:firstLine="640"/>
        <w:jc w:val="both"/>
      </w:pPr>
      <w:r>
        <w:rPr>
          <w:rFonts w:ascii="仿宋_GB2312" w:hAnsi="仿宋_GB2312" w:eastAsia="仿宋_GB2312"/>
          <w:b/>
          <w:sz w:val="32"/>
        </w:rPr>
        <w:t>2024年度支出总计2,222.63万元，</w:t>
      </w:r>
      <w:r>
        <w:rPr>
          <w:rFonts w:ascii="仿宋_GB2312" w:hAnsi="仿宋_GB2312" w:eastAsia="仿宋_GB2312"/>
          <w:b w:val="0"/>
          <w:sz w:val="32"/>
        </w:rPr>
        <w:t>其中：本年支出合计2,170.53万元，结余分配0.00万元，年末结转和结余52.10万元。</w:t>
      </w:r>
    </w:p>
    <w:p>
      <w:pPr>
        <w:spacing w:line="580" w:lineRule="exact"/>
        <w:ind w:firstLine="640"/>
        <w:jc w:val="both"/>
      </w:pPr>
      <w:r>
        <w:rPr>
          <w:rFonts w:ascii="仿宋_GB2312" w:hAnsi="仿宋_GB2312" w:eastAsia="仿宋_GB2312"/>
          <w:b w:val="0"/>
          <w:sz w:val="32"/>
        </w:rPr>
        <w:t>收入支出总体与上年相比，</w:t>
      </w:r>
      <w:r>
        <w:rPr>
          <w:rFonts w:ascii="仿宋_GB2312" w:hAnsi="仿宋_GB2312" w:eastAsia="仿宋_GB2312"/>
          <w:b w:val="0"/>
          <w:sz w:val="32"/>
        </w:rPr>
        <w:t>减少280.95万元，下降11.22%，主要原因是：本年减少档案扫描费、办案业务经费等。</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本年收入2,172.81万元，</w:t>
      </w:r>
      <w:r>
        <w:rPr>
          <w:rFonts w:ascii="仿宋_GB2312" w:hAnsi="仿宋_GB2312" w:eastAsia="仿宋_GB2312"/>
          <w:b w:val="0"/>
          <w:sz w:val="32"/>
        </w:rPr>
        <w:t>其中：财政拨款收入2,123.35万元，占97.72%；上级补助收入0.00万元，占0.00%；事业收入0.00万元，占0.00%；经营收入0.00万元，占0.00%；附属单位上缴收入0.00万元，占0.00%；其他收入49.47万元，占2.28%。</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本年支出2,170.53万元，</w:t>
      </w:r>
      <w:r>
        <w:rPr>
          <w:rFonts w:ascii="仿宋_GB2312" w:hAnsi="仿宋_GB2312" w:eastAsia="仿宋_GB2312"/>
          <w:b w:val="0"/>
          <w:sz w:val="32"/>
        </w:rPr>
        <w:t>其中：基本支出1,754.23万元，占80.82%；项目支出416.30万元，占19.18%；上缴上级支出0.00万元，占0.00%；经营支出0.00万元，占0.00%；对附属单位补助支出0.00万元，占0.00%。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2024年度财政拨款收入总计2,123.35万元，</w:t>
      </w:r>
      <w:r>
        <w:rPr>
          <w:rFonts w:ascii="仿宋_GB2312" w:hAnsi="仿宋_GB2312" w:eastAsia="仿宋_GB2312"/>
          <w:b w:val="0"/>
          <w:sz w:val="32"/>
        </w:rPr>
        <w:t>其中：年初财政拨款结转和结余0.00万元，本年财政拨款收入2,123.35万元。</w:t>
      </w:r>
      <w:r>
        <w:rPr>
          <w:rFonts w:ascii="仿宋_GB2312" w:hAnsi="仿宋_GB2312" w:eastAsia="仿宋_GB2312"/>
          <w:b/>
          <w:sz w:val="32"/>
        </w:rPr>
        <w:t>财政拨款支出总计2,123.35万元，</w:t>
      </w:r>
      <w:r>
        <w:rPr>
          <w:rFonts w:ascii="仿宋_GB2312" w:hAnsi="仿宋_GB2312" w:eastAsia="仿宋_GB2312"/>
          <w:b w:val="0"/>
          <w:sz w:val="32"/>
        </w:rPr>
        <w:t>其中：年末财政拨款结转和结余0.00万元，本年财政拨款支出2,123.35万元。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减少271.89万元，下降11.35%，主要原因是：本年减少档案扫描费、办案业务经费等。</w:t>
      </w:r>
      <w:r>
        <w:rPr>
          <w:rFonts w:ascii="仿宋_GB2312" w:hAnsi="仿宋_GB2312" w:eastAsia="仿宋_GB2312"/>
          <w:b/>
          <w:sz w:val="32"/>
        </w:rPr>
        <w:t>与年初预算相比，</w:t>
      </w:r>
      <w:r>
        <w:rPr>
          <w:rFonts w:ascii="仿宋_GB2312" w:hAnsi="仿宋_GB2312" w:eastAsia="仿宋_GB2312"/>
          <w:b w:val="0"/>
          <w:sz w:val="32"/>
        </w:rPr>
        <w:t>年初预算数1,946.44万元，决算数2,123.35万元，预决算差异率9.09%，主要原因是：本年在职人员增加，年中追加人员经费及人员工资、社保、公积金基数调增部分资金，导致预决算存在差异。</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2024年度一般公共预算财政拨款支出2,123.35万元，</w:t>
      </w:r>
      <w:r>
        <w:rPr>
          <w:rFonts w:ascii="仿宋_GB2312" w:hAnsi="仿宋_GB2312" w:eastAsia="仿宋_GB2312"/>
          <w:b w:val="0"/>
          <w:sz w:val="32"/>
        </w:rPr>
        <w:t>占本年支出合计的97.83%。</w:t>
      </w:r>
      <w:r>
        <w:rPr>
          <w:rFonts w:ascii="仿宋_GB2312" w:hAnsi="仿宋_GB2312" w:eastAsia="仿宋_GB2312"/>
          <w:b/>
          <w:sz w:val="32"/>
        </w:rPr>
        <w:t>与上年相比，</w:t>
      </w:r>
      <w:r>
        <w:rPr>
          <w:rFonts w:ascii="仿宋_GB2312" w:hAnsi="仿宋_GB2312" w:eastAsia="仿宋_GB2312"/>
          <w:b w:val="0"/>
          <w:sz w:val="32"/>
        </w:rPr>
        <w:t>减少271.89万元，下降11.35%，主要原因是：本年减少档案扫描费、办案业务经费等。</w:t>
      </w:r>
      <w:r>
        <w:rPr>
          <w:rFonts w:ascii="仿宋_GB2312" w:hAnsi="仿宋_GB2312" w:eastAsia="仿宋_GB2312"/>
          <w:b/>
          <w:sz w:val="32"/>
        </w:rPr>
        <w:t>与年初预算相比,</w:t>
      </w:r>
      <w:r>
        <w:rPr>
          <w:rFonts w:ascii="仿宋_GB2312" w:hAnsi="仿宋_GB2312" w:eastAsia="仿宋_GB2312"/>
          <w:b w:val="0"/>
          <w:sz w:val="32"/>
        </w:rPr>
        <w:t>年初预算数1,946.44万元，决算数2,123.35万元，预决算差异率9.09%，主要原因是：本年在职人员增加，年中追加人员经费及人员工资、社保、公积金基数调增部分资金，导致预决算存在差异。</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1.一般公共服务支出(类)0.50万元,占0.02%。</w:t>
      </w:r>
    </w:p>
    <w:p>
      <w:pPr>
        <w:spacing w:line="580" w:lineRule="exact"/>
        <w:ind w:firstLine="640"/>
        <w:jc w:val="both"/>
      </w:pPr>
      <w:r>
        <w:rPr>
          <w:rFonts w:ascii="仿宋_GB2312" w:hAnsi="仿宋_GB2312" w:eastAsia="仿宋_GB2312"/>
          <w:b w:val="0"/>
          <w:sz w:val="32"/>
        </w:rPr>
        <w:t>2.公共安全支出(类)1,748.57万元,占82.35%。</w:t>
      </w:r>
    </w:p>
    <w:p>
      <w:pPr>
        <w:spacing w:line="580" w:lineRule="exact"/>
        <w:ind w:firstLine="640"/>
        <w:jc w:val="both"/>
      </w:pPr>
      <w:r>
        <w:rPr>
          <w:rFonts w:ascii="仿宋_GB2312" w:hAnsi="仿宋_GB2312" w:eastAsia="仿宋_GB2312"/>
          <w:b w:val="0"/>
          <w:sz w:val="32"/>
        </w:rPr>
        <w:t>3.社会保障和就业支出(类)199.85万元,占9.41%。</w:t>
      </w:r>
    </w:p>
    <w:p>
      <w:pPr>
        <w:spacing w:line="580" w:lineRule="exact"/>
        <w:ind w:firstLine="640"/>
        <w:jc w:val="both"/>
      </w:pPr>
      <w:r>
        <w:rPr>
          <w:rFonts w:ascii="仿宋_GB2312" w:hAnsi="仿宋_GB2312" w:eastAsia="仿宋_GB2312"/>
          <w:b w:val="0"/>
          <w:sz w:val="32"/>
        </w:rPr>
        <w:t>4.卫生健康支出(类)66.02万元,占3.11%。</w:t>
      </w:r>
    </w:p>
    <w:p>
      <w:pPr>
        <w:spacing w:line="580" w:lineRule="exact"/>
        <w:ind w:firstLine="640"/>
        <w:jc w:val="both"/>
      </w:pPr>
      <w:r>
        <w:rPr>
          <w:rFonts w:ascii="仿宋_GB2312" w:hAnsi="仿宋_GB2312" w:eastAsia="仿宋_GB2312"/>
          <w:b w:val="0"/>
          <w:sz w:val="32"/>
        </w:rPr>
        <w:t>5.住房保障支出(类)97.34万元,占4.58%。</w:t>
      </w:r>
    </w:p>
    <w:p>
      <w:pPr>
        <w:spacing w:line="580" w:lineRule="exact"/>
        <w:ind w:firstLine="640"/>
        <w:jc w:val="both"/>
      </w:pPr>
      <w:r>
        <w:rPr>
          <w:rFonts w:ascii="仿宋_GB2312" w:hAnsi="仿宋_GB2312" w:eastAsia="仿宋_GB2312"/>
          <w:b w:val="0"/>
          <w:sz w:val="32"/>
        </w:rPr>
        <w:t>6.其他支出(类)11.07万元,占0.52%。</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1.一般公共服务支出(类)信访事务(款)信访业务(项):支出决算数为0.50万元，比上年决算增加0.50万元，增长100.00%,主要原因是：本年增加信访专项资金。</w:t>
      </w:r>
    </w:p>
    <w:p>
      <w:pPr>
        <w:spacing w:line="580" w:lineRule="exact"/>
        <w:ind w:firstLine="640"/>
        <w:jc w:val="both"/>
      </w:pPr>
      <w:r>
        <w:rPr>
          <w:rFonts w:ascii="仿宋_GB2312" w:hAnsi="仿宋_GB2312" w:eastAsia="仿宋_GB2312"/>
          <w:b w:val="0"/>
          <w:sz w:val="32"/>
        </w:rPr>
        <w:t>2.公共安全支出(类)法院(款)行政运行(项):支出决算数为1,391.02万元，比上年决算增加21.39万元，增长1.56%,主要原因是：本年在职人员工资调增，导致相关人员经费较上年有所增加。</w:t>
      </w:r>
    </w:p>
    <w:p>
      <w:pPr>
        <w:spacing w:line="580" w:lineRule="exact"/>
        <w:ind w:firstLine="640"/>
        <w:jc w:val="both"/>
      </w:pPr>
      <w:r>
        <w:rPr>
          <w:rFonts w:ascii="仿宋_GB2312" w:hAnsi="仿宋_GB2312" w:eastAsia="仿宋_GB2312"/>
          <w:b w:val="0"/>
          <w:sz w:val="32"/>
        </w:rPr>
        <w:t>3.公共安全支出(类)法院(款)一般行政管理事务(项):支出决算数为45.29万元，比上年决算减少171.36万元，下降79.10%,主要原因是：本年减少档案扫描费等。</w:t>
      </w:r>
    </w:p>
    <w:p>
      <w:pPr>
        <w:spacing w:line="580" w:lineRule="exact"/>
        <w:ind w:firstLine="640"/>
        <w:jc w:val="both"/>
      </w:pPr>
      <w:r>
        <w:rPr>
          <w:rFonts w:ascii="仿宋_GB2312" w:hAnsi="仿宋_GB2312" w:eastAsia="仿宋_GB2312"/>
          <w:b w:val="0"/>
          <w:sz w:val="32"/>
        </w:rPr>
        <w:t>4.公共安全支出(类)法院(款)其他法院支出(项):支出决算数为312.26万元，比上年决算减少150.78万元，下降32.56%,主要原因是：本年减少办案业务经费。</w:t>
      </w:r>
    </w:p>
    <w:p>
      <w:pPr>
        <w:spacing w:line="580" w:lineRule="exact"/>
        <w:ind w:firstLine="640"/>
        <w:jc w:val="both"/>
      </w:pPr>
      <w:r>
        <w:rPr>
          <w:rFonts w:ascii="仿宋_GB2312" w:hAnsi="仿宋_GB2312" w:eastAsia="仿宋_GB2312"/>
          <w:b w:val="0"/>
          <w:sz w:val="32"/>
        </w:rPr>
        <w:t>5.社会保障和就业支出(类)行政事业单位养老支出(款)行政单位离退休(项):支出决算数为17.17万元，比上年决算增加5.95万元，增长53.03%,主要原因是：本年增加退休人员绩效奖金，退休人员经费支出增加。</w:t>
      </w:r>
    </w:p>
    <w:p>
      <w:pPr>
        <w:spacing w:line="580" w:lineRule="exact"/>
        <w:ind w:firstLine="640"/>
        <w:jc w:val="both"/>
      </w:pPr>
      <w:r>
        <w:rPr>
          <w:rFonts w:ascii="仿宋_GB2312" w:hAnsi="仿宋_GB2312" w:eastAsia="仿宋_GB2312"/>
          <w:b w:val="0"/>
          <w:sz w:val="32"/>
        </w:rPr>
        <w:t>6.社会保障和就业支出(类)行政事业单位养老支出(款)机关事业单位基本养老保险缴费支出(项):支出决算数为121.79万元，比上年决算增加18.78万元，增长18.23%,主要原因是：本年在职人员工资基数调增，养老缴费基数上涨，相应支出增加。</w:t>
      </w:r>
    </w:p>
    <w:p>
      <w:pPr>
        <w:spacing w:line="580" w:lineRule="exact"/>
        <w:ind w:firstLine="640"/>
        <w:jc w:val="both"/>
      </w:pPr>
      <w:r>
        <w:rPr>
          <w:rFonts w:ascii="仿宋_GB2312" w:hAnsi="仿宋_GB2312" w:eastAsia="仿宋_GB2312"/>
          <w:b w:val="0"/>
          <w:sz w:val="32"/>
        </w:rPr>
        <w:t>7.社会保障和就业支出(类)行政事业单位养老支出(款)机关事业单位职业年金缴费支出(项):支出决算数为60.89万元，比上年决算增加11.46万元，增长23.18%,主要原因是：本年新增退休人员，在职人员工资调增，职业年金缴费支出增加。</w:t>
      </w:r>
    </w:p>
    <w:p>
      <w:pPr>
        <w:spacing w:line="580" w:lineRule="exact"/>
        <w:ind w:firstLine="640"/>
        <w:jc w:val="both"/>
      </w:pPr>
      <w:r>
        <w:rPr>
          <w:rFonts w:ascii="仿宋_GB2312" w:hAnsi="仿宋_GB2312" w:eastAsia="仿宋_GB2312"/>
          <w:b w:val="0"/>
          <w:sz w:val="32"/>
        </w:rPr>
        <w:t>8.卫生健康支出(类)行政事业单位医疗(款)行政单位医疗(项):支出决算数为61.73万元，比上年决算增加4.97万元，增长8.76%,主要原因是：本年在职人员工资基数调增，医疗缴费基数上涨，相应支出增加。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9.卫生健康支出(类)行政事业单位医疗(款)公务员医疗补助(项):支出决算数为3.86万元，比上年决算增加0.32万元，增长9.04%,主要原因是：本年在职人员工资基数调增，医疗缴费基数上涨，相应支出增加。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10.卫生健康支出(类)行政事业单位医疗(款)其他行政事业单位医疗支出(项):支出决算数为0.43万元，比上年决算减少0.06万元，下降12.24%,主要原因是：本年在职人员调入，退休，人员职级不同，缴费基数不同，导致其他行政事业单位医疗较上年减少。</w:t>
      </w:r>
    </w:p>
    <w:p>
      <w:pPr>
        <w:spacing w:line="580" w:lineRule="exact"/>
        <w:ind w:firstLine="640"/>
        <w:jc w:val="both"/>
      </w:pPr>
      <w:r>
        <w:rPr>
          <w:rFonts w:ascii="仿宋_GB2312" w:hAnsi="仿宋_GB2312" w:eastAsia="仿宋_GB2312"/>
          <w:b w:val="0"/>
          <w:sz w:val="32"/>
        </w:rPr>
        <w:t>11.住房保障支出(类)住房改革支出(款)住房公积金(项):支出决算数为97.34万元，比上年决算减少4.85万元，下降4.75%,主要原因是：本年在职人员调入，退休，人员职级不同，缴费基数不同，导致住房公积金缴费较上年减少。</w:t>
      </w:r>
    </w:p>
    <w:p>
      <w:pPr>
        <w:spacing w:line="580" w:lineRule="exact"/>
        <w:ind w:firstLine="640"/>
        <w:jc w:val="both"/>
      </w:pPr>
      <w:r>
        <w:rPr>
          <w:rFonts w:ascii="仿宋_GB2312" w:hAnsi="仿宋_GB2312" w:eastAsia="仿宋_GB2312"/>
          <w:b w:val="0"/>
          <w:sz w:val="32"/>
        </w:rPr>
        <w:t>12.其他支出(类)其他支出(款)其他支出(项):支出决算数为11.07万元，比上年决算减少8.20万元，下降42.55%,主要原因是：本年减少为民办实事个人补助经费。</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2024年度一般公共预算财政拨款基本支出1,754.23万元，其中：</w:t>
      </w:r>
      <w:r>
        <w:rPr>
          <w:rFonts w:ascii="仿宋_GB2312" w:hAnsi="仿宋_GB2312" w:eastAsia="仿宋_GB2312"/>
          <w:b/>
          <w:sz w:val="32"/>
        </w:rPr>
        <w:t>人员经费1,580.95万元，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退休费、抚恤金、生活补助、奖励金。</w:t>
      </w:r>
    </w:p>
    <w:p>
      <w:pPr>
        <w:spacing w:line="580" w:lineRule="exact"/>
        <w:ind w:firstLine="640"/>
        <w:jc w:val="both"/>
      </w:pPr>
      <w:r>
        <w:rPr>
          <w:rFonts w:ascii="仿宋_GB2312" w:hAnsi="仿宋_GB2312" w:eastAsia="仿宋_GB2312"/>
          <w:b/>
          <w:sz w:val="32"/>
        </w:rPr>
        <w:t>公用经费173.28万元，</w:t>
      </w:r>
      <w:r>
        <w:rPr>
          <w:rFonts w:ascii="仿宋_GB2312" w:hAnsi="仿宋_GB2312" w:eastAsia="仿宋_GB2312"/>
          <w:b w:val="0"/>
          <w:sz w:val="32"/>
        </w:rPr>
        <w:t>包括：办公费、水费、电费、取暖费、物业管理费、租赁费、公务接待费、劳务费、工会经费、福利费、其他商品和服务支出。</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2024年度财政拨款“三公”经费支出35.14万元，</w:t>
      </w:r>
      <w:r>
        <w:rPr>
          <w:rFonts w:ascii="仿宋_GB2312" w:hAnsi="仿宋_GB2312" w:eastAsia="仿宋_GB2312"/>
          <w:b w:val="0"/>
          <w:sz w:val="32"/>
        </w:rPr>
        <w:t>比上年增加0.02万元，增长0.06%，主要原因是：本年因业务需求，增加公务接待工作，导致公务接待费较上年增加。</w:t>
      </w:r>
      <w:r>
        <w:rPr>
          <w:rFonts w:ascii="仿宋_GB2312" w:hAnsi="仿宋_GB2312" w:eastAsia="仿宋_GB2312"/>
          <w:b w:val="0"/>
          <w:sz w:val="32"/>
        </w:rPr>
        <w:t>其中：因公出国（境）费支出0.00万元，占0.00%，比上年增加0.00万元，增长0.00%，主要原因是：2023年与2024年均未安排因公出国（境）费支出。</w:t>
      </w:r>
      <w:r>
        <w:rPr>
          <w:rFonts w:ascii="仿宋_GB2312" w:hAnsi="仿宋_GB2312" w:eastAsia="仿宋_GB2312"/>
          <w:b w:val="0"/>
          <w:sz w:val="32"/>
        </w:rPr>
        <w:t>公务用车购置及运行维护费支出34.84万元，占99.15%，比上年减少0.28万元，下降0.80%，主要原因是：严格落实中央八项规定精神，厉行节约，减少公务用车运行维护费。</w:t>
      </w:r>
      <w:r>
        <w:rPr>
          <w:rFonts w:ascii="仿宋_GB2312" w:hAnsi="仿宋_GB2312" w:eastAsia="仿宋_GB2312"/>
          <w:b w:val="0"/>
          <w:sz w:val="32"/>
        </w:rPr>
        <w:t>公务接待费支出0.30万元，占0.85%，比上年增加0.30万元，增长100.00%，主要原因是：本年因业务需求，增加公务接待工作，导致公务接待费较上年增加。</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pPr>
        <w:spacing w:line="580" w:lineRule="exact"/>
        <w:ind w:firstLine="640"/>
        <w:jc w:val="both"/>
      </w:pPr>
      <w:r>
        <w:rPr>
          <w:rFonts w:ascii="仿宋_GB2312" w:hAnsi="仿宋_GB2312" w:eastAsia="仿宋_GB2312"/>
          <w:b w:val="0"/>
          <w:sz w:val="32"/>
        </w:rPr>
        <w:t>公务用车购置及运行维护费34.84万元，其中：公务用车购置费0.00万元，公务用车运行维护费34.84万元。公务用车运行维护费开支内容包括车辆燃油费、车辆维修费、车辆保险费、过桥过路费、停车费、车辆审验费。公务用车购置数0辆，公务用车保有量17辆。国有资产占用情况中固定资产车辆17辆，与公务用车保有量差异原因是：本单位固定资产车辆与公务用车保有量一致无差异。</w:t>
      </w:r>
    </w:p>
    <w:p>
      <w:pPr>
        <w:spacing w:line="580" w:lineRule="exact"/>
        <w:ind w:firstLine="640"/>
        <w:jc w:val="both"/>
      </w:pPr>
      <w:r>
        <w:rPr>
          <w:rFonts w:ascii="仿宋_GB2312" w:hAnsi="仿宋_GB2312" w:eastAsia="仿宋_GB2312"/>
          <w:b w:val="0"/>
          <w:sz w:val="32"/>
        </w:rPr>
        <w:t>公务接待费0.30万元，开支内容包括福建援疆人员、新疆高院来我单位调研产生的就餐费。单位全年安排的国内公务接待5批次，68人次。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35.14万元，决算数35.14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34.84万元，决算数34.84万元，预决算差异率0.00%，主要原因是：严格按照预算执行，预决算无差异。公务接待费全年预算数0.30万元，决算数0.30万元，预决算差异率0.00%，主要原因是：严格按照预算执行，预决算无差异。</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2024年度吉木萨尔县人民法院（行政单位和参照公务员法管理事业单位）机关运行经费支出173.28万元，比上年减少2.27万元，下降1.29%，主要原因是：严格控制公用经费，合理节约办公用品，减少不必要开支。</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2024年度政府采购支出总额297.39万元，其中：政府采购货物支出172.01万元、政府采购工程支出0.00万元、政府采购服务支出125.37万元。</w:t>
      </w:r>
    </w:p>
    <w:p>
      <w:pPr>
        <w:spacing w:line="580" w:lineRule="exact"/>
        <w:ind w:firstLine="640"/>
        <w:jc w:val="both"/>
      </w:pPr>
      <w:r>
        <w:rPr>
          <w:rFonts w:ascii="仿宋_GB2312" w:hAnsi="仿宋_GB2312" w:eastAsia="仿宋_GB2312"/>
          <w:b w:val="0"/>
          <w:sz w:val="32"/>
        </w:rPr>
        <w:t>授予中小企业合同金额297.39万元，占政府采购支出总额的100.00%，其中：授予小微企业合同金额297.39万元，占政府采购支出总额的100.00%。</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8,574.25平方米，价值1,971.34万元。车辆17辆，价值282.19万元，其中：副部（省）级及以上领导用车0辆、主要负责人用车0辆、机要通信用车0辆、应急保障用车0辆、执法执勤用车12辆、特种专业技术用车4辆、离退休干部服务用车0辆、其他用车1辆，其他用车主要是：一般公务用车。单价100万元（含）以上设备（不含车辆）0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2,222.63万元，实际执行总额2,170.53万元；预算绩效评价项目1个，全年预算数49.46万元，全年执行数47.19万元。预算绩效管理取得的成效：单位确定了单位绩效工作组织架构。办公室负责牵头建立绩效小组，研究制定各项绩效管理制度，组织协调绩效日常工作，认真执行项目绩效管理制度，落实相关工作要求。建立了部门预算管理办法、财务收支管理办法、固定资产管理办法、办公用品采购保管领用管理办法、采购管理办法、合同业务管理办法、会计业务管理办法等。2024年本单位预算编制坚持量入为出、保障重点的原则 ，对项目支出按照轻重缓急程度实行分类排序，统筹安排部门预算。2024年本单位安排项目预算时将项目支出进行细化，细化成单价、数量，单价以行业标准、市场数据以及历史数据作为编制依据进行核算，数量以实际需求等资料为依据进行测算。人员经费预算和公用经费预算均按照定额标准编制，预算与部门活动相匹配。2024年我单位牢固树立全面绩效管理理念，将预算绩效管理融入预算各类项目资金，将绩效理念融入预算各个层级，将绩效方法融入预算各项流程，严格按照政策要求编制部门整体支出绩效目标和项目支出绩效目标，切实实现预算编制有目标，确保了资金分配与绩效目标的一致性，实现预算绩效全覆盖。我单位项目实施紧扣各个环节，逐步推进，及时与职能部门跟踪项目进展，加强项目督办，充分调动职能部门的积极性，整体绩效完成情况较好。发现的问题及原因：1.司法理念、工作机制同审判工作现代化还有差距；2.对司法实践新情况新问题研究不深，能动司法能力仍需提升；3.协调推进诉源治理合力仍需增强；4.招人难、留人难、案多人少问题尚未得到有效解决;5.单位内控职责不够细化，项目预算的绩效设定与实际的项目支出存在些许差距，争取在今后工作中准确把握项目资金支出，达到资金的最大效益;6.在资金申请工作中要积极主动联系财政部门确保资金及时落实到位，进一步按照国家有关财务规章制度规定加强资金使用管理，确保资金用到实处，工作有序的开展，加强自身建设，提高服务能力。下一步改进措施：1.深入贯彻党的二十大精神，夯实“两个确立”思想根基，增强“两个维护”政治自觉，巩固习近平新时代中国特色社会主义思想主题教育成果，不断加强党对法院工作的绝对领导，坚持重案大事主动请示报告制度，确保法院工作正确政治方向。2.牢固树立总体国家安全观，深入推进严打攻坚、扫黑除恶法治化常态化，严厉打击各类刑事犯罪，稳妥化解涉诉涉执信访，平等高效保护各类市场主体合法权益。持续优化法治化营商环境，着眼于县域经济发展环境中难点、堵点、切入点中，将法治建设贯穿全过程，进一步发挥法院职能作用，为县委重大事项立项、建设起到法律顾问监督效果，推动县域协调发展提供强有力的法治保障。3.高度重视绩效工作。强化与单位领导的沟通联系，定期汇报工作进展情况，督促各项工作按计划实施，同时做好绩效监控工作。4.继续从严控制工作经费、车辆运行费、公务接待费等一般性支出，认真执行资金管理和财务管理制度，严格执行国家有关财务规章制度规定的开支范围及开支标准，确保资金用到实处。具体附整体支出绩效自评表，项目支出绩效自评表和评价报告。</w:t>
      </w:r>
    </w:p>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单位整体支出绩效自评表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单位名称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吉木萨尔县人民法院</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部门资金（万元）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资金来源</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上级资金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245.47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369.11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322.26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97.66%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9.77</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本级资金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1,709.44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1,754.23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1,801.09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49.46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99.29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47.18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合计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2,004.37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2,222.63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2,170.53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筑牢政治忠诚，以更强担当建设平安昌吉，以更实举措优化营商环境，以更优服务践行司法为民，以更新理念深化配套改革，以更大力度加强队伍建设，努力为推进中国式现代化和建设团结和谐、繁荣富裕、文明进步、生态良好的美好新疆、美好吉木萨尔提供坚实司法服务和保障。2024年，落实网上立案率不低于50%，诉讼案件审限内结案率不低于85.53%，平均结案时间不高于82.14天，民商事案件调解率高于30%，诉前调解案件达到民事收案的30%，首次执行案件实际执行完毕率不低于30%，首次执行案件终本率不低于20%，首次执行案件到位率不低于45%的目标任务，加大干警培训力度，提升干警业务能力和水平。</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2024年我单位全年预算数为2,222.63万元，全年执行数为2,170.53万元，总预算执行率为97.66%。2024年我单位完成以下工作内容：1.干警培训40次；2.网上立案率达到50.66%；3.国产计算机更新替代25台；4.支付及时率达到100%；5.验收合格率达到100%；6.案件执行完比率达到38.55%；7.案件审限内结案率达到93.95%。通过以上工作的实施，加大干警培训力度，提升干警业务能力和水平。</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履职效能</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干警培训次数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&gt;=40次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新疆法官学院2024年集中培训计划汇总表</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=40次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网上立案率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&gt;=50%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吉木萨尔县人民法院2024年重点工作计划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=50.66%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国产计算机更新替代</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&gt;=37台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吉木萨尔县人民法院2024年重点工作计划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=25台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6.76</w:t>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支付及时率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吉木萨尔县人民法院2024年重点工作计划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验收合格率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吉木萨尔县人民法院2024年重点工作计划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执行完毕率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&gt;=32.22%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人民法院审判质量管理指标体系</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=38.55%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审限内结案率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&gt;=89.99%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人民法院审判质量管理指标体系</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=93.95%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机关运行补助（自有资金）</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昌吉州中级人民法院</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吉木萨尔县人民法院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49.46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49.46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47.19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95.41%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49.46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49.46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47.19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吉木萨尔人民法院是国家的审判机关，对县人民代表大会及其常委会负责并报告工作，接受上级人民法院的监督和业务指导。其主要工作有：1、审判法律法律规定由县人民法院管辖的刑事、民事、行政案件。2、审理由上级法院指定管辖的刑事、民事、行政案件。3、审理由上级法院交办的再审案件。4、依法行使司法执行权和司法决定权。5、依法决定国家赔偿。6、在审判工作中宣传法制、教育公民自觉遵守宪法、法律。吉木萨尔人民法院位于吉木萨尔县孚远路，核定编制69 人，实有人数64人，内设8个机构，派出机构3个（三台人民法庭、大有人民法庭、五彩湾法庭），为保障审判案件量大于等于8000件，案件质效得到提升，确保各项业务顺利开展，为审判质效提供强有力保障，司法公正力得到进一步提升，现根据业务工作开展情况，制定2024年机构运行经费工作计划，具体情况如下：</w:t>
              <w:br/>
              <w:t>1、零星维修保障法庭数量大于等于4个；2、安保服务保障期限大于等于12月；3、单位运转保障率100%;4、资金保障及时率100%；5、安保服务保障成本小于等于16.19万元；6、零星维修保障法庭成本小于等于7.81万元；7、单位资金运转成本小于等于25.46万元；8、干警对经费保障情况满意度大于等于90%；9、可长久维护社会稳定与长治久安；10、项目完成时限2024年1月1日--2024年12月31日。</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截止至2024年12月31日,该项目实际完成零星维修保障法庭数量完成4个，通过该项目的实施，达到可长久维护社会稳定与长治久安的效果。</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零星维修保障法庭数量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&gt;=4个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安保服务保障期限</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&gt;=12月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单位运转保障率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资金保障及时率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安保服务保障成本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&lt;=16.19万元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=16.19万元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零星维修保障法庭成本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&lt;=7.81万元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=7.81万元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其他日常运转成本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&lt;=25.46万元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=23.18万元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91.04%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4.66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我单位其他日常运转成本未完成，主要是因为该项经费正在办理采购流程，后续将加快支付进度。</w:t>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可长久维护社会稳定与长治久安</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持续性</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干警对经费保障情况满意度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8.89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年初目标实施情况较低，年底实施较好，超额完成指标。</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97.55分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本年本单位SM项目1个，全年预算数312.26万元，全年执行数312.26万元。</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523</Words>
  <Characters>541</Characters>
  <Lines>0</Lines>
  <Paragraphs>0</Paragraphs>
  <TotalTime>0</TotalTime>
  <ScaleCrop>false</ScaleCrop>
  <LinksUpToDate>false</LinksUpToDate>
  <CharactersWithSpaces>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郭子歪</cp:lastModifiedBy>
  <cp:lastPrinted>2024-07-22T11:58:00Z</cp:lastPrinted>
  <dcterms:modified xsi:type="dcterms:W3CDTF">2025-08-08T11:56:24Z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