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阜康市人民检察院2024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本单位主要职能SM不予公开。</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阜康市人民检察院2024年度，实有人数57人，其中：在职人员34人，增加2人；离休人员0人，增加0人；退休人员23人,增加1人。</w:t>
      </w:r>
    </w:p>
    <w:p>
      <w:pPr>
        <w:spacing w:line="580" w:lineRule="exact"/>
        <w:ind w:firstLine="640"/>
        <w:jc w:val="both"/>
      </w:pPr>
      <w:r>
        <w:rPr>
          <w:rFonts w:ascii="仿宋_GB2312" w:hAnsi="仿宋_GB2312" w:eastAsia="仿宋_GB2312"/>
          <w:sz w:val="32"/>
        </w:rPr>
        <w:t>阜康市人民检察院无下属预算单位，下设5个科室，分别是：第一检察部、第二检察部、第三检察部、政治部、办公室。</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2024年度收入总计1,150.04万元，</w:t>
      </w:r>
      <w:r>
        <w:rPr>
          <w:rFonts w:ascii="仿宋_GB2312" w:hAnsi="仿宋_GB2312" w:eastAsia="仿宋_GB2312"/>
          <w:b w:val="0"/>
          <w:sz w:val="32"/>
        </w:rPr>
        <w:t>其中：本年收入合计1,150.04万元，使用非财政拨款结余（含专用结余）0.00万元，年初结转和结余0.00万元。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2024年度支出总计1,150.04万元，</w:t>
      </w:r>
      <w:r>
        <w:rPr>
          <w:rFonts w:ascii="仿宋_GB2312" w:hAnsi="仿宋_GB2312" w:eastAsia="仿宋_GB2312"/>
          <w:b w:val="0"/>
          <w:sz w:val="32"/>
        </w:rPr>
        <w:t>其中：本年支出合计1,150.04万元，结余分配0.00万元，年末结转和结余0.00万元。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减少128.56万元，下降10.05%，主要原因是：本年未拨付资金用于偿还以前年度的债务和欠款，导致经费较上年减少。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本年收入1,150.04万元，</w:t>
      </w:r>
      <w:r>
        <w:rPr>
          <w:rFonts w:ascii="仿宋_GB2312" w:hAnsi="仿宋_GB2312" w:eastAsia="仿宋_GB2312"/>
          <w:b w:val="0"/>
          <w:sz w:val="32"/>
        </w:rPr>
        <w:t>其中：财政拨款收入1,090.04万元，占94.78%；上级补助收入0.00万元，占0.00%；事业收入0.00万元，占0.00%；经营收入0.00万元，占0.00%；附属单位上缴收入0.00万元，占0.00%；其他收入60.00万元，占5.22%。</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本年支出1,150.04万元，</w:t>
      </w:r>
      <w:r>
        <w:rPr>
          <w:rFonts w:ascii="仿宋_GB2312" w:hAnsi="仿宋_GB2312" w:eastAsia="仿宋_GB2312"/>
          <w:b w:val="0"/>
          <w:sz w:val="32"/>
        </w:rPr>
        <w:t>其中：基本支出894.68万元，占77.80%；项目支出255.36万元，占22.20%；上缴上级支出0.00万元，占0.00%；经营支出0.00万元，占0.00%；对附属单位补助支出0.00万元，占0.00%。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2024年度财政拨款收入总计1,090.04万元，</w:t>
      </w:r>
      <w:r>
        <w:rPr>
          <w:rFonts w:ascii="仿宋_GB2312" w:hAnsi="仿宋_GB2312" w:eastAsia="仿宋_GB2312"/>
          <w:b w:val="0"/>
          <w:sz w:val="32"/>
        </w:rPr>
        <w:t>其中：年初财政拨款结转和结余0.00万元，本年财政拨款收入1,090.04万元。</w:t>
      </w:r>
      <w:r>
        <w:rPr>
          <w:rFonts w:ascii="仿宋_GB2312" w:hAnsi="仿宋_GB2312" w:eastAsia="仿宋_GB2312"/>
          <w:b/>
          <w:sz w:val="32"/>
        </w:rPr>
        <w:t>财政拨款支出总计1,090.04万元，</w:t>
      </w:r>
      <w:r>
        <w:rPr>
          <w:rFonts w:ascii="仿宋_GB2312" w:hAnsi="仿宋_GB2312" w:eastAsia="仿宋_GB2312"/>
          <w:b w:val="0"/>
          <w:sz w:val="32"/>
        </w:rPr>
        <w:t>其中：年末财政拨款结转和结余0.00万元，本年财政拨款支出1,090.04万元。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增加11.89万元，增长1.10%，主要原因是：本年在职人员增加，在职人员工资调增、社保、公积金基数调增，人员经费增加。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975.63万元，决算数1,090.04万元，预决算差异率11.73%，主要原因是：本年在职人员增加，年中追加人员经费及人员工资、社保、公积金基数调增部分资金，年中追加中央政法纪检监察转移政法资金项目经费，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2024年度一般公共预算财政拨款支出1,090.04万元，</w:t>
      </w:r>
      <w:r>
        <w:rPr>
          <w:rFonts w:ascii="仿宋_GB2312" w:hAnsi="仿宋_GB2312" w:eastAsia="仿宋_GB2312"/>
          <w:b w:val="0"/>
          <w:sz w:val="32"/>
        </w:rPr>
        <w:t>占本年支出合计的94.78%。</w:t>
      </w:r>
      <w:r>
        <w:rPr>
          <w:rFonts w:ascii="仿宋_GB2312" w:hAnsi="仿宋_GB2312" w:eastAsia="仿宋_GB2312"/>
          <w:b/>
          <w:sz w:val="32"/>
        </w:rPr>
        <w:t>与上年相比，</w:t>
      </w:r>
      <w:r>
        <w:rPr>
          <w:rFonts w:ascii="仿宋_GB2312" w:hAnsi="仿宋_GB2312" w:eastAsia="仿宋_GB2312"/>
          <w:b w:val="0"/>
          <w:sz w:val="32"/>
        </w:rPr>
        <w:t>增加11.89万元，增长1.10%，主要原因是：本年在职人员增加，在职人员工资调增、社保、公积金基数调增，人员经费增加。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975.63万元，决算数1,090.04万元，预决算差异率11.73%，主要原因是：本年在职人员增加，年中追加人员经费及人员工资、社保、公积金基数调增部分资金，年中追加中央政法纪检监察转移政法资金项目经费，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1.公共安全支出(类)871.27万元,占79.93%。</w:t>
      </w:r>
    </w:p>
    <w:p>
      <w:pPr>
        <w:spacing w:line="580" w:lineRule="exact"/>
        <w:ind w:firstLine="640"/>
        <w:jc w:val="both"/>
      </w:pPr>
      <w:r>
        <w:rPr>
          <w:rFonts w:ascii="仿宋_GB2312" w:hAnsi="仿宋_GB2312" w:eastAsia="仿宋_GB2312"/>
          <w:b w:val="0"/>
          <w:sz w:val="32"/>
        </w:rPr>
        <w:t>2.社会保障和就业支出(类)109.18万元,占10.02%。</w:t>
      </w:r>
    </w:p>
    <w:p>
      <w:pPr>
        <w:spacing w:line="580" w:lineRule="exact"/>
        <w:ind w:firstLine="640"/>
        <w:jc w:val="both"/>
      </w:pPr>
      <w:r>
        <w:rPr>
          <w:rFonts w:ascii="仿宋_GB2312" w:hAnsi="仿宋_GB2312" w:eastAsia="仿宋_GB2312"/>
          <w:b w:val="0"/>
          <w:sz w:val="32"/>
        </w:rPr>
        <w:t>3.卫生健康支出(类)33.97万元,占3.12%。</w:t>
      </w:r>
    </w:p>
    <w:p>
      <w:pPr>
        <w:spacing w:line="580" w:lineRule="exact"/>
        <w:ind w:firstLine="640"/>
        <w:jc w:val="both"/>
      </w:pPr>
      <w:r>
        <w:rPr>
          <w:rFonts w:ascii="仿宋_GB2312" w:hAnsi="仿宋_GB2312" w:eastAsia="仿宋_GB2312"/>
          <w:b w:val="0"/>
          <w:sz w:val="32"/>
        </w:rPr>
        <w:t>4.住房保障支出(类)50.82万元,占4.66%。</w:t>
      </w:r>
    </w:p>
    <w:p>
      <w:pPr>
        <w:spacing w:line="580" w:lineRule="exact"/>
        <w:ind w:firstLine="640"/>
        <w:jc w:val="both"/>
      </w:pPr>
      <w:r>
        <w:rPr>
          <w:rFonts w:ascii="仿宋_GB2312" w:hAnsi="仿宋_GB2312" w:eastAsia="仿宋_GB2312"/>
          <w:b w:val="0"/>
          <w:sz w:val="32"/>
        </w:rPr>
        <w:t>5.其他支出(类)24.80万元,占2.28%。</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1.公共安全支出(类)公安(款)一般行政管理事务(项):支出决算数为0.19万元，比上年决算增加0.19万元，增长100.00%,主要原因是：本年增加中央政府纪检监察转移支付结转资金。</w:t>
      </w:r>
    </w:p>
    <w:p>
      <w:pPr>
        <w:spacing w:line="580" w:lineRule="exact"/>
        <w:ind w:firstLine="640"/>
        <w:jc w:val="both"/>
      </w:pPr>
      <w:r>
        <w:rPr>
          <w:rFonts w:ascii="仿宋_GB2312" w:hAnsi="仿宋_GB2312" w:eastAsia="仿宋_GB2312"/>
          <w:b w:val="0"/>
          <w:sz w:val="32"/>
        </w:rPr>
        <w:t>2.公共安全支出(类)检察(款)行政运行(项):支出决算数为697.08万元，比上年决算增加29.47万元，增长4.41%,主要原因是：本年新增在职人员，在职人员工资调增，导致相关人员经费较上年有所增加。</w:t>
      </w:r>
    </w:p>
    <w:p>
      <w:pPr>
        <w:spacing w:line="580" w:lineRule="exact"/>
        <w:ind w:firstLine="640"/>
        <w:jc w:val="both"/>
      </w:pPr>
      <w:r>
        <w:rPr>
          <w:rFonts w:ascii="仿宋_GB2312" w:hAnsi="仿宋_GB2312" w:eastAsia="仿宋_GB2312"/>
          <w:b w:val="0"/>
          <w:sz w:val="32"/>
        </w:rPr>
        <w:t>3.公共安全支出(类)检察(款)一般行政管理事务(项):支出决算数为0.00万元，比上年决算减少106.81万元，下降100.00%,主要原因是：本年功能科目调整，中央政府纪检监察转移支付资金上年在检察(款)一般行政管理事务(项)科目列支，本年在其他检察支出科目列支，导致经费减少。</w:t>
      </w:r>
    </w:p>
    <w:p>
      <w:pPr>
        <w:spacing w:line="580" w:lineRule="exact"/>
        <w:ind w:firstLine="640"/>
        <w:jc w:val="both"/>
      </w:pPr>
      <w:r>
        <w:rPr>
          <w:rFonts w:ascii="仿宋_GB2312" w:hAnsi="仿宋_GB2312" w:eastAsia="仿宋_GB2312"/>
          <w:b w:val="0"/>
          <w:sz w:val="32"/>
        </w:rPr>
        <w:t>4.公共安全支出(类)检察(款)其他检察支出(项):支出决算数为174.00万元，比上年决算增加72.00万元，增长70.59%,主要原因是：本年增加业务办案费支出；本年功能科目调整，中央政府纪检监察转移支付资金上年在检察(款)一般行政管理事务(项)科目列支，本年在其他检察支出科目列支，导致经费增加。</w:t>
      </w:r>
    </w:p>
    <w:p>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14.18万元，比上年决算增加4.72万元，增长49.89%,主要原因是：本年退休人员增加，增加退休人员基础绩效奖，退休费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63.33万元，比上年决算减少21.91万元，下降25.70%,主要原因是：本年在职人员调入调出，人员职级不同，缴费基数不同，导致养老保险缴费较上年减少。</w:t>
      </w:r>
    </w:p>
    <w:p>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7.社会保障和就业支出(类)行政事业单位养老支出(款)机关事业单位职业年金缴费支出(项):支出决算数为31.66万元，比上年决算增加30.97万元，增长4,488.41%,主要原因是：本年新增退休人员，职业年金缴费支出增加。</w:t>
      </w:r>
    </w:p>
    <w:p>
      <w:pPr>
        <w:spacing w:line="580" w:lineRule="exact"/>
        <w:ind w:firstLine="640"/>
        <w:jc w:val="both"/>
      </w:pPr>
      <w:r>
        <w:rPr>
          <w:rFonts w:ascii="仿宋_GB2312" w:hAnsi="仿宋_GB2312" w:eastAsia="仿宋_GB2312"/>
          <w:b w:val="0"/>
          <w:sz w:val="32"/>
        </w:rPr>
        <w:t>8.卫生健康支出(类)行政事业单位医疗(款)行政单位医疗(项):支出决算数为31.66万元，比上年决算增加3.02万元，增长10.54%,主要原因是：本年在职人员增加，行政单位医疗较上年增加。</w:t>
      </w:r>
    </w:p>
    <w:p>
      <w:pPr>
        <w:spacing w:line="580" w:lineRule="exact"/>
        <w:ind w:firstLine="640"/>
        <w:jc w:val="both"/>
      </w:pPr>
      <w:r>
        <w:rPr>
          <w:rFonts w:ascii="仿宋_GB2312" w:hAnsi="仿宋_GB2312" w:eastAsia="仿宋_GB2312"/>
          <w:b w:val="0"/>
          <w:sz w:val="32"/>
        </w:rPr>
        <w:t>9.卫生健康支出(类)行政事业单位医疗(款)公务员医疗补助(项):支出决算数为1.98万元，比上年决算增加0.19万元，增长10.61%,主要原因是：本年在职人员增加，公务员医疗补助较上年增加。</w:t>
      </w:r>
    </w:p>
    <w:p>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10.卫生健康支出(类)行政事业单位医疗(款)其他行政事业单位医疗支出(项):支出决算数为0.32万元，比上年决算增加0.01万元，增长3.23%,主要原因是：本年在职人员增加，其他行政事业单位医疗支出较上年增加。</w:t>
      </w:r>
    </w:p>
    <w:p>
      <w:pPr>
        <w:spacing w:line="580" w:lineRule="exact"/>
        <w:ind w:firstLine="640"/>
        <w:jc w:val="both"/>
      </w:pPr>
      <w:r>
        <w:rPr>
          <w:rFonts w:ascii="仿宋_GB2312" w:hAnsi="仿宋_GB2312" w:eastAsia="仿宋_GB2312"/>
          <w:b w:val="0"/>
          <w:sz w:val="32"/>
        </w:rPr>
        <w:t>11.住房保障支出(类)住房改革支出(款)住房公积金(项):支出决算数为50.82万元，比上年决算增加0.05万元，增长0.10%,主要原因是：本年在职人员增加，住房公积金支出较上年增加。</w:t>
      </w:r>
    </w:p>
    <w:p>
      <w:pPr>
        <w:spacing w:line="580" w:lineRule="exact"/>
        <w:ind w:firstLine="640"/>
        <w:jc w:val="both"/>
      </w:pPr>
      <w:r>
        <w:rPr>
          <w:rFonts w:ascii="仿宋_GB2312" w:hAnsi="仿宋_GB2312" w:eastAsia="仿宋_GB2312"/>
          <w:b w:val="0"/>
          <w:sz w:val="32"/>
        </w:rPr>
        <w:t>12.其他支出(类)其他支出(款)其他支出(项):支出决算数为24.80万元，比上年决算减少0.03万元，下降0.12%,主要原因是：本年驻村工作自治区补助经费（为民办实事经费）较上年减少。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2024年度一般公共预算财政拨款基本支出894.68万元，其中：</w:t>
      </w:r>
      <w:r>
        <w:rPr>
          <w:rFonts w:ascii="仿宋_GB2312" w:hAnsi="仿宋_GB2312" w:eastAsia="仿宋_GB2312"/>
          <w:b/>
          <w:sz w:val="32"/>
        </w:rPr>
        <w:t>人员经费797.81万元，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w:t>
      </w:r>
    </w:p>
    <w:p>
      <w:pPr>
        <w:spacing w:line="580" w:lineRule="exact"/>
        <w:ind w:firstLine="640"/>
        <w:jc w:val="both"/>
      </w:pPr>
      <w:r>
        <w:rPr>
          <w:rFonts w:ascii="仿宋_GB2312" w:hAnsi="仿宋_GB2312" w:eastAsia="仿宋_GB2312"/>
          <w:b/>
          <w:sz w:val="32"/>
        </w:rPr>
        <w:t>公用经费96.87万元，</w:t>
      </w:r>
      <w:r>
        <w:rPr>
          <w:rFonts w:ascii="仿宋_GB2312" w:hAnsi="仿宋_GB2312" w:eastAsia="仿宋_GB2312"/>
          <w:b w:val="0"/>
          <w:sz w:val="32"/>
        </w:rPr>
        <w:t>包括：办公费、印刷费、咨询费、水费、电费、邮电费、取暖费、物业管理费、维修（护）费、租赁费、公务接待费、劳务费、工会经费、福利费、公务用车运行维护费、其他商品和服务支出。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2024年度财政拨款“三公”经费支出16.20万元，</w:t>
      </w:r>
      <w:r>
        <w:rPr>
          <w:rFonts w:ascii="仿宋_GB2312" w:hAnsi="仿宋_GB2312" w:eastAsia="仿宋_GB2312"/>
          <w:b w:val="0"/>
          <w:sz w:val="32"/>
        </w:rPr>
        <w:t>比上年增加0.00万元，增长0.00%，主要原因是：我单位“三公”经费与上年一致无变化。</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公务用车购置及运行维护费支出15.20万元，占93.83%，比上年增加0.00万元，增长0.00%，主要原因是：我单位公务用车运行维护费与上年一致无变化。</w:t>
      </w:r>
      <w:r>
        <w:rPr>
          <w:rFonts w:ascii="仿宋_GB2312" w:hAnsi="仿宋_GB2312" w:eastAsia="仿宋_GB2312"/>
          <w:b w:val="0"/>
          <w:sz w:val="32"/>
        </w:rPr>
        <w:t>公务接待费支出1.00万元，占6.17%，比上年增加0.00万元，增长0.00%，主要原因是：我单位公务接待费与上年一致无变化。</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15.20万元，其中：公务用车购置费0.00万元，公务用车运行维护费15.20万元。公务用车运行维护费开支内容包括车辆加油费、维修费、保险费、审车费、过路费等。公务用车购置数0辆，公务用车保有量9辆。国有资产占用情况中固定资产车辆9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公务接待费1.00万元，开支内容包括因工作原因，接待上级领导检查产生的就餐费。单位全年安排的国内公务接待14批次，86人次。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16.20万元，决算数16.20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15.20万元，决算数15.20万元，预决算差异率0.00%，主要原因是：严格按照预算执行，预决算无差异。公务接待费全年预算数1.00万元，决算数1.00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2024年度阜康市人民检察院（行政单位和参照公务员法管理事业单位）机关运行经费支出96.87万元，比上年增加5.93万元，增长6.52%，主要原因是：本年更新、维护补充办公用品，导致机关运行经费较上年增加。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2024年度政府采购支出总额120.48万元，其中：政府采购货物支出42.75万元、政府采购工程支出25.56万元、政府采购服务支出52.17万元。</w:t>
      </w:r>
    </w:p>
    <w:p>
      <w:pPr>
        <w:spacing w:line="580" w:lineRule="exact"/>
        <w:ind w:firstLine="640"/>
        <w:jc w:val="both"/>
      </w:pPr>
      <w:r>
        <w:rPr>
          <w:rFonts w:ascii="仿宋_GB2312" w:hAnsi="仿宋_GB2312" w:eastAsia="仿宋_GB2312"/>
          <w:b w:val="0"/>
          <w:sz w:val="32"/>
        </w:rPr>
        <w:t>授予中小企业合同金额120.48万元，占政府采购支出总额的100.00%，其中：授予小微企业合同金额120.48万元，占政府采购支出总额的100.00%。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7,348.74平方米，价值2,761.19万元。车辆9辆，价值205.22万元，其中：副部（省）级及以上领导用车0辆、主要负责人用车0辆、机要通信用车0辆、应急保障用车0辆、执法执勤用车7辆、特种专业技术用车0辆、离退休干部服务用车0辆、其他用车2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1,150.04万元，实际执行总额1,150.04万元；预算绩效评价项目2个，全年预算数60.00万元，全年执行数60.00万元。预算绩效管理取得的成效：1.聚焦重点任务，推动项目工作落地落实。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2.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有效了降低资金偏离政策目标的风险，提高了资金使用效益。3.强化绩效目标刚性约束，及时对项目进行跟踪问效。加强绩效目标的刚性约束，及时对项目实施进度与资金支付进度进行全程跟踪问效，发现问题及时解决，对于重大问题实行集体讨论，确保项目按计划进行，项目资金支付安排高效、合理，杜绝截留、挤占或挪用项目资金的情况发生。一是领导重视到位：高度重视，主要领导亲自抓，并予以充分的人力、财力保障。责任落实到位：将各项目工作落实到具体科室、具体岗位、具体个人。二是合理合规使用经费。根据项目业务流程，参考历年经费使用情况，认真测算各阶段所需经费，确保当前项目实施经费充足。在经费使用方面，严格执行经费使用管理制度，厉行节约，专款专用，对每笔经费使用情况建立监督机制，确保经费使用合理合规。三是健全项目管理制度。我单位已有保证项目实施的制度、措施等，如《中华人民共和国预算法》、《预算管理办法》等。发现的问题及原因：1.绩效档案归档工作有待提高。一是对档案工作重视程度不高，意识淡薄。单位人员对绩效档案管理工作重视程度不够，不注重关键时间节点材料的鉴定归档，造成绩效管理工作档案缺失。二是单位人员对档案管理工作缺少针对性和目的性，对绩效档案工作重要性的认识不足，缺乏熟练的业务知识，使绩效档案管理与实际业务存在一定偏差，未发挥其综合价值。2.项目支出绩效评价存在局限，客观性有待加强。项目支出绩效评价工作还存在自我审定的局限性，项目支出绩效工作有较大弹性，评价报告多局限于描述项目实施情况，对问题避重就轻，对项目的打分松紧不一，会影响评价质量，在客观性和公正性上说服力不强。下一步改进措施：1.扎实推进档案规范化建设，提升档案管理水平。一是进一步完善项目评价资料。项目启动时同步做好档案的归纳与整理，及时整理、收集、汇总，健全档案资料。二是严格落实自治区关于绩效管理工作档案资料归档的相关要求，强化收集力度，确保归档资料的完整齐全。2. 高度重视，加强领导。高度重视，加强领导，精心组织。项目绩效领导小组对绩效评价工作进行指导、监督、检查，确保项目绩效评价反映项目完成真实情况。严格执行项目绩效评价工作要求，切实提高项目绩效报告的客观性和公正性。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阜康市人民检察院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138.00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195.36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195.36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837.62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894.68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894.68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1,025.62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1,150.04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1,150.04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一）强化政治自觉，以更强担当厚植党的执政根基。牢牢把握检察机关的政治属性，切实把思想和行动统一到党的二十大精神上来，更加自觉坚持“两个确立”，坚定做到“两个维护”。坚决贯彻《中国共产党政法工作条例》，压实全面从严管党治检主体责任，把讲政治实实在在融入、落实到检察工作各方面、全过程。推进政治建设与业务建设融为一体，打造特色鲜明的党建检察文化品牌，不断提高“政治三力”。严格落实意识形态工作责任制，建设健康向上的检察意识形态主阵地。</w:t>
              <w:br/>
              <w:br/>
              <w:t>二是精准融入大局，以更优服务护航经济社会发展。深入践行总体国家安全观，坚持依法严打方针，对恐怖主义和极端主义犯罪保持严打高压态势，坚决防止暴恐活动反弹和宗教极端主义死灰复燃。持续推进常态化扫黑除恶斗争，坚持打深打透打彻底，达到“常治长效”。在经济建设主战场上主动作为，积极服务重大项目建设，平等保护企业合法权益，持续完善和落实第三方监督评估机制，切实推动企业合规工作全面开展，努力优化营商环境。规范推进认罪认罚从宽制度，用足用好少捕慎诉慎押刑事司法政策，防范化解社会矛盾，用能动履职的理念，交好服务经济社会高质量发展的答卷。</w:t>
              <w:br/>
              <w:br/>
              <w:t>三是坚持紧贴民心，以更深情怀落实人民至上理念。拓展检察为民新渠道，以检察担当守护人民群众美好生活。聚焦人民群众的急难愁盼问题，切实履行批捕、起诉和诉讼监督职能，持续强化对人民群众反映强烈的盗抢骗、食药环等犯罪的高压打击态势，守护老百姓的“钱袋子”“菜篮子”。深入推进未成年人保护专项行动，加强对妇女、儿童、老年人、残疾人等特殊人群的司法保护，加大司法救助力度。用心用情办好群众身边的“小案”，以求极致的态度把“小案”办成“精案”，促进案结事了、政通人和。积极参与社会治理，推进落实最高人民检察院第一至第八号检察建议，针对办案中发现的普遍性、倾向性问题制发检察建议，推动法律监督由个案监督向类案监督拓展。进一步扩大法治宣传，强化检察办案释法说理能力，切实回应人民群众法治需求。</w:t>
              <w:br/>
              <w:br/>
              <w:t>四是深耕主责主业，以更好履职提升法律监督成效。认真落实党的二十大报告提出的“加强检察机关法律监督工作”“完善公益诉讼制度”要求，围绕深化全面依法治市，健全与其他执法司法机关良性互动的监督制约机制，共同维护公平公正。依托侦查监督与协作配合办公室，开展穿透式监督。以精准监督为导向，做实民事行政检察工作。积极稳妥深化公益诉讼新领域的实践探索，常态化抓好检察建议整改落实情况“回头看”，完善协同共治公益保护格局。更大力度推进数字检察工作，以大数据赋能释放法律监督效能。</w:t>
              <w:br/>
              <w:br/>
              <w:t>五是坚持守正创新，以更严要求加强检察队伍建设。做好主题教育后半篇文章，以问题为导向，细化整改措施，从细处入手、从实处着力，使解决问题、整改问题纵向到底、横向到边，坚持“当下改”与“长久立”相结合，完善相关制度，从体制机制上铲除不良作风滋生的土壤。牢记“三个务必”的要求，严格执行新时代政法干警“十个严禁”，努力打造忠诚干净担当的检察铁军。围绕“四化”建设目标，加强实践锻炼、专业训练，全面开展岗位练兵和比武备赛活动，努力实现高精尖人才和专业化办案团队的高位突破。保持严的主基调不动摇，锲而不舍落实中央八项规定精神，深化落实“三个规定”，坚决守牢制度底线。自觉接受人大、政协和社会各界监督，确保检察权规范高效运行、公信力持续稳步提升。</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1,150.04万元，全年执行数为1150.04万元，总预算执行率为100.00%。2024年我单位完成以下工作内容：1.坚决贯彻落实总体国家安全观，服务构建新安全格局，全力维护社会稳定。依法批准逮捕各类犯罪嫌疑人41人；提起公诉160人。推进反恐维稳法治化常态化，严厉打击敌对势力渗透破坏颠覆分裂活动，批准逮捕5人，起诉4人。严惩危害人民群众生命财产安全的犯罪，起诉故意伤害、强奸等严重暴力犯罪32人，“两抢一盗”犯罪30人。坚持惩治犯罪与追赃挽损并重，全年挽回经济损失300余万元。；2.注重用法治维护竞争有序的市场环境，积极开展“检察护企”专项行动，常态化推进涉企“挂案”清理，助力企业轻装前行。某企业法定代表人涉嫌职务侵占案，持续跟进监督3年，最终依法监督撤案。迭代升级“百检联百企”专项行动，建立涉企案件绿色通道，畅通服务途径，走访企业13家，召开检企联席会议2次，解决困难诉求4件，办理涉企民事监督案件2件。；3.全面准确贯彻宽严相济刑事政策，对情节轻微、危害不大的案件不捕24人，不诉101人。用足用好认罪认罚从宽、刑事和解制度，把化解矛盾、修复社会关系作为履职办案的重要任务，认罪认罚适用率91.45%、量刑建议采纳率92.81%、一审服判率高达96.88%。积极探索轻罪治理“阜康模式”，完善行刑衔接机制和回访监督工作办法，建议行政机关行政处罚66人。认真做好办案后半篇文章，针对办案中发现的相关领域监管漏洞，制发各类检察建议86份，进一步做实“抓前段、治未病”。2篇入选昌吉州检察机关优秀检察建议。通过以上工作的实施，努力找准服务大局的切入点和着力点，做到中心工作推进到哪里，检察工作就服务保障到哪里。依法打击电信网络诈骗、帮助信息网络犯罪20人，守好群众“钱袋子”。开展网络新业态专项监督，办理有毒有害食品犯罪3人、药品犯罪6人，制发检察建议跟进督促整改，合力守护老百姓“舌尖上的安全”。维护盲人合法权益，办理占用盲人通道案件2件，让有“爱”变得更加无碍。发挥司法救助“一头牵着百姓疾苦，一头系着司法关爱”的功能，办理司法救助案件5件，发放救助金15余万元。加强与妇联、民政及教育等部门沟通协作，实现司法救助与社会救助的有机衔接。始终牢记人民检察为人民，践行为人民司法的初心，持续深化“检护民生”专项行动，实实在在办好惠民利民实事。</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运行成本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tab/>
              <w:tab/>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人民检察院批准逮捕案件数量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211件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人民检察院受理公益诉讼案件数量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53件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保障机关运行人员数量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编制文件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54人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管理效率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tab/>
              <w:tab/>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刑事案件的结案率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行业指标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公诉案件的结案率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行业指标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援疆干部周转房</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阜康市人民检察院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阜康市人民检察院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根据单位办公区域实际情况，阜康市人民检察院检察对援疆干部宿舍购置，为我援疆干部工作人员打造更好的工作环境。</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2024年12月31日，该项目实际购买房屋1套，项目验收合格率100%，财政资金支付效率提升促进程度100%，项目资金支付及时率100%，项目支持资金发放准确率100%，项目投入成本等于50万元。通过该项目的实施，提升援疆干部办公环境及条件，促进了工作效率的提高，极大地满足了援疆干部的幸福感。</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购置房屋项目工程数量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该指标计划值设定根据上年度情况设定，因本年度项目完成比较好，导致有偏差。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财政资金支付效率提升促进程度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项目资金支付及时率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项目支持资金发放准确率（%）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项目投入成本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促进改善办案基础设施和办案条件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为人民群众提供有效的公共法律服务水平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该指标计划值设定根据上年度情况设定，因本年度项目完成比较好，导致有偏差。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99.47分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机房不间断电源购置及改造</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阜康市人民检察院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阜康市人民检察院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投入10万元，购买U盾间断电源一个。维修维护153平法米。保障我单位53人正常的工作秩序，及时合规采购设备，保障单位电源正常运转，调动职工工作积极性，提高业务开展效率，提升公共服务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至2024年12月31日，该项目实际设备购置数量（1个），维修维护153平方，设备验收合格率为100%，设备费用45100元，维护费用5.09万元。及时合规采购设备，保障单位电源正常运转，调动职工工作积极性，提高业务开展效率，提升公共服务能力，促进了四大检察业务的质效。</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设备购置数量（个）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维修维护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&lt;=153平方米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=153平方米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=2024.12月7-10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&lt;=45100元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=45100元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45100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维护费用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&lt;=50900元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=50900元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50900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保障部门单位运转正常，提高工作效率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本年本单位SM项目1个，全年预算数183.00万元，全年执行数183.00万元。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