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昌吉市人民法院2024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昌吉市人民法院是国家审判机关，对市人民代表大会及常务委员会负责并报告工作，接受自治州中级人民法院对审判工作的监督和业务指导，正科级建制。其主要职责是。</w:t>
      </w:r>
    </w:p>
    <w:p>
      <w:pPr>
        <w:spacing w:line="580" w:lineRule="exact"/>
        <w:ind w:firstLine="640"/>
        <w:jc w:val="both"/>
      </w:pPr>
      <w:r>
        <w:rPr>
          <w:rFonts w:ascii="仿宋_GB2312" w:hAnsi="仿宋_GB2312" w:eastAsia="仿宋_GB2312"/>
          <w:sz w:val="32"/>
        </w:rPr>
        <w:t>1.依法审判法律规定由基层人民法院管辖，自治州中级人民法院指定管辖或者认为应当由自己审判的刑事、民事、行政等第一审案件。</w:t>
      </w:r>
    </w:p>
    <w:p>
      <w:pPr>
        <w:spacing w:line="580" w:lineRule="exact"/>
        <w:ind w:firstLine="640"/>
        <w:jc w:val="both"/>
      </w:pPr>
      <w:r>
        <w:rPr>
          <w:rFonts w:ascii="仿宋_GB2312" w:hAnsi="仿宋_GB2312" w:eastAsia="仿宋_GB2312"/>
          <w:sz w:val="32"/>
        </w:rPr>
        <w:t>2.审理上级法院指令再审的各类案件；受理不服本院一审生效裁判的各类申诉和再诉申请，对其中确有错误的，依法提起再审。</w:t>
      </w:r>
    </w:p>
    <w:p>
      <w:pPr>
        <w:spacing w:line="580" w:lineRule="exact"/>
        <w:ind w:firstLine="640"/>
        <w:jc w:val="both"/>
      </w:pPr>
      <w:r>
        <w:rPr>
          <w:rFonts w:ascii="仿宋_GB2312" w:hAnsi="仿宋_GB2312" w:eastAsia="仿宋_GB2312"/>
          <w:sz w:val="32"/>
        </w:rPr>
        <w:t>3.依法审判由市人民检察院按照审判监督程序提出的抗诉案件。</w:t>
      </w:r>
    </w:p>
    <w:p>
      <w:pPr>
        <w:spacing w:line="580" w:lineRule="exact"/>
        <w:ind w:firstLine="640"/>
        <w:jc w:val="both"/>
      </w:pPr>
      <w:r>
        <w:rPr>
          <w:rFonts w:ascii="仿宋_GB2312" w:hAnsi="仿宋_GB2312" w:eastAsia="仿宋_GB2312"/>
          <w:sz w:val="32"/>
        </w:rPr>
        <w:t>4.处理不需要开庭审判的民事纠纷和轻微的刑事案件。</w:t>
      </w:r>
    </w:p>
    <w:p>
      <w:pPr>
        <w:spacing w:line="580" w:lineRule="exact"/>
        <w:ind w:firstLine="640"/>
        <w:jc w:val="both"/>
      </w:pPr>
      <w:r>
        <w:rPr>
          <w:rFonts w:ascii="仿宋_GB2312" w:hAnsi="仿宋_GB2312" w:eastAsia="仿宋_GB2312"/>
          <w:sz w:val="32"/>
        </w:rPr>
        <w:t>5.依法行使司法执行权和司法决定权。</w:t>
      </w:r>
    </w:p>
    <w:p>
      <w:pPr>
        <w:spacing w:line="580" w:lineRule="exact"/>
        <w:ind w:firstLine="640"/>
        <w:jc w:val="both"/>
      </w:pPr>
      <w:r>
        <w:rPr>
          <w:rFonts w:ascii="仿宋_GB2312" w:hAnsi="仿宋_GB2312" w:eastAsia="仿宋_GB2312"/>
          <w:sz w:val="32"/>
        </w:rPr>
        <w:t>6.依法办理外地法院委托办理的司法协助事项。</w:t>
      </w:r>
    </w:p>
    <w:p>
      <w:pPr>
        <w:spacing w:line="580" w:lineRule="exact"/>
        <w:ind w:firstLine="640"/>
        <w:jc w:val="both"/>
      </w:pPr>
      <w:r>
        <w:rPr>
          <w:rFonts w:ascii="仿宋_GB2312" w:hAnsi="仿宋_GB2312" w:eastAsia="仿宋_GB2312"/>
          <w:sz w:val="32"/>
        </w:rPr>
        <w:t>7.对法院的法官和其他工作人员进行思想政治教育，组织业务专业培训和监督管理工作。</w:t>
      </w:r>
    </w:p>
    <w:p>
      <w:pPr>
        <w:spacing w:line="580" w:lineRule="exact"/>
        <w:ind w:firstLine="640"/>
        <w:jc w:val="both"/>
      </w:pPr>
      <w:r>
        <w:rPr>
          <w:rFonts w:ascii="仿宋_GB2312" w:hAnsi="仿宋_GB2312" w:eastAsia="仿宋_GB2312"/>
          <w:sz w:val="32"/>
        </w:rPr>
        <w:t>8.指导基层人民调解委员会的工作。</w:t>
      </w:r>
    </w:p>
    <w:p>
      <w:pPr>
        <w:spacing w:line="580" w:lineRule="exact"/>
        <w:ind w:firstLine="640"/>
        <w:jc w:val="both"/>
      </w:pPr>
      <w:r>
        <w:rPr>
          <w:rFonts w:ascii="仿宋_GB2312" w:hAnsi="仿宋_GB2312" w:eastAsia="仿宋_GB2312"/>
          <w:sz w:val="32"/>
        </w:rPr>
        <w:t>9.在审判工作中宣传法制，教育公民自觉遵守宪法、法律。</w:t>
      </w:r>
    </w:p>
    <w:p>
      <w:pPr>
        <w:spacing w:line="580" w:lineRule="exact"/>
        <w:ind w:firstLine="640"/>
        <w:jc w:val="both"/>
      </w:pPr>
      <w:r>
        <w:rPr>
          <w:rFonts w:ascii="仿宋_GB2312" w:hAnsi="仿宋_GB2312" w:eastAsia="仿宋_GB2312"/>
          <w:sz w:val="32"/>
        </w:rPr>
        <w:t>10.管理人民法院的有关经费和物质装备。</w:t>
      </w:r>
    </w:p>
    <w:p>
      <w:pPr>
        <w:spacing w:line="580" w:lineRule="exact"/>
        <w:ind w:firstLine="640"/>
        <w:jc w:val="both"/>
      </w:pPr>
      <w:r>
        <w:rPr>
          <w:rFonts w:ascii="仿宋_GB2312" w:hAnsi="仿宋_GB2312" w:eastAsia="仿宋_GB2312"/>
          <w:sz w:val="32"/>
        </w:rPr>
        <w:t>11.承办其他应当由市法院负责的工作。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昌吉市人民法院2024年度，实有人数208人，其中：在职人员142人，减少1人；离休人员0人，增加0人；退休人员66人,增加6人。</w:t>
      </w:r>
    </w:p>
    <w:p>
      <w:pPr>
        <w:spacing w:line="580" w:lineRule="exact"/>
        <w:ind w:firstLine="640"/>
        <w:jc w:val="both"/>
      </w:pPr>
      <w:r>
        <w:rPr>
          <w:rFonts w:ascii="仿宋_GB2312" w:hAnsi="仿宋_GB2312" w:eastAsia="仿宋_GB2312"/>
          <w:sz w:val="32"/>
        </w:rPr>
        <w:t>昌吉市人民法院无下属预算单位，下设13个科室，分别是：立案庭、刑事审判庭、民事审判一庭、民事审判二庭、行政庭、执行局、大西渠人民法庭、滨湖法庭、三工法庭、办公室、政治部、审判管理办公室、司法警察大队。</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2024年度收入总计5,408.47万元，</w:t>
      </w:r>
      <w:r>
        <w:rPr>
          <w:rFonts w:ascii="仿宋_GB2312" w:hAnsi="仿宋_GB2312" w:eastAsia="仿宋_GB2312"/>
          <w:b w:val="0"/>
          <w:sz w:val="32"/>
        </w:rPr>
        <w:t>其中：本年收入合计5,394.58万元，使用非财政拨款结余（含专用结余）0.00万元，年初结转和结余13.89万元。</w:t>
      </w:r>
    </w:p>
    <w:p>
      <w:pPr>
        <w:spacing w:line="580" w:lineRule="exact"/>
        <w:ind w:firstLine="640"/>
        <w:jc w:val="both"/>
      </w:pPr>
      <w:r>
        <w:rPr>
          <w:rFonts w:ascii="仿宋_GB2312" w:hAnsi="仿宋_GB2312" w:eastAsia="仿宋_GB2312"/>
          <w:b/>
          <w:sz w:val="32"/>
        </w:rPr>
        <w:t>2024年度支出总计5,408.47万元，</w:t>
      </w:r>
      <w:r>
        <w:rPr>
          <w:rFonts w:ascii="仿宋_GB2312" w:hAnsi="仿宋_GB2312" w:eastAsia="仿宋_GB2312"/>
          <w:b w:val="0"/>
          <w:sz w:val="32"/>
        </w:rPr>
        <w:t>其中：本年支出合计5,357.11万元，结余分配0.00万元，年末结转和结余51.36万元。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减少277.21万元，下降4.88%，主要原因是：本年减少业务补助费、援疆资金-三工移动厢房。</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本年收入5,394.58万元，</w:t>
      </w:r>
      <w:r>
        <w:rPr>
          <w:rFonts w:ascii="仿宋_GB2312" w:hAnsi="仿宋_GB2312" w:eastAsia="仿宋_GB2312"/>
          <w:b w:val="0"/>
          <w:sz w:val="32"/>
        </w:rPr>
        <w:t>其中：财政拨款收入5,317.07万元，占98.56%；上级补助收入0.00万元，占0.00%；事业收入0.00万元，占0.00%；经营收入0.00万元，占0.00%；附属单位上缴收入0.00万元，占0.00%；其他收入77.51万元，占1.44%。</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本年支出5,357.11万元，</w:t>
      </w:r>
      <w:r>
        <w:rPr>
          <w:rFonts w:ascii="仿宋_GB2312" w:hAnsi="仿宋_GB2312" w:eastAsia="仿宋_GB2312"/>
          <w:b w:val="0"/>
          <w:sz w:val="32"/>
        </w:rPr>
        <w:t>其中：基本支出4,278.82万元，占79.87%；项目支出1,078.29万元，占20.13%；上缴上级支出0.00万元，占0.00%；经营支出0.00万元，占0.00%；对附属单位补助支出0.00万元，占0.00%。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2024年度财政拨款收入总计5,317.07万元，</w:t>
      </w:r>
      <w:r>
        <w:rPr>
          <w:rFonts w:ascii="仿宋_GB2312" w:hAnsi="仿宋_GB2312" w:eastAsia="仿宋_GB2312"/>
          <w:b w:val="0"/>
          <w:sz w:val="32"/>
        </w:rPr>
        <w:t>其中：年初财政拨款结转和结余0.00万元，本年财政拨款收入5,317.07万元。</w:t>
      </w:r>
      <w:r>
        <w:rPr>
          <w:rFonts w:ascii="仿宋_GB2312" w:hAnsi="仿宋_GB2312" w:eastAsia="仿宋_GB2312"/>
          <w:b/>
          <w:sz w:val="32"/>
        </w:rPr>
        <w:t>财政拨款支出总计5,317.07万元，</w:t>
      </w:r>
      <w:r>
        <w:rPr>
          <w:rFonts w:ascii="仿宋_GB2312" w:hAnsi="仿宋_GB2312" w:eastAsia="仿宋_GB2312"/>
          <w:b w:val="0"/>
          <w:sz w:val="32"/>
        </w:rPr>
        <w:t>其中：年末财政拨款结转和结余0.00万元，本年财政拨款支出5,317.07万元。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减少266.79万元，下降4.78%，主要原因是：本年机关运行补助经费较上年减少；本年在职人员减少，相关人员经费较上年减少。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年初预算数4,809.59万元，决算数5,317.07万元，预决算差异率10.55%，主要原因是：年中追加人员工资、社保、公积金基数调增部分资金，年中追加中央政法纪检检察转移支付资金，导致预决算存在差异。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2024年度一般公共预算财政拨款支出5,317.07万元，</w:t>
      </w:r>
      <w:r>
        <w:rPr>
          <w:rFonts w:ascii="仿宋_GB2312" w:hAnsi="仿宋_GB2312" w:eastAsia="仿宋_GB2312"/>
          <w:b w:val="0"/>
          <w:sz w:val="32"/>
        </w:rPr>
        <w:t>占本年支出合计的99.25%。</w:t>
      </w:r>
      <w:r>
        <w:rPr>
          <w:rFonts w:ascii="仿宋_GB2312" w:hAnsi="仿宋_GB2312" w:eastAsia="仿宋_GB2312"/>
          <w:b/>
          <w:sz w:val="32"/>
        </w:rPr>
        <w:t>与上年相比，</w:t>
      </w:r>
      <w:r>
        <w:rPr>
          <w:rFonts w:ascii="仿宋_GB2312" w:hAnsi="仿宋_GB2312" w:eastAsia="仿宋_GB2312"/>
          <w:b w:val="0"/>
          <w:sz w:val="32"/>
        </w:rPr>
        <w:t>减少266.79万元，下降4.78%，主要原因是：本年机关运行补助经费较上年减少；本年在职人员减少，相关人员经费较上年减少。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年初预算数4,809.59万元，决算数5,317.07万元，预决算差异率10.55%，主要原因是：年中追加人员工资、社保、公积金基数调增部分资金，年中追加中央政法纪检检察转移支付资金，导致预决算存在差异。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1.一般公共服务支出(类)5.00万元,占0.09%。</w:t>
      </w:r>
    </w:p>
    <w:p>
      <w:pPr>
        <w:spacing w:line="580" w:lineRule="exact"/>
        <w:ind w:firstLine="640"/>
        <w:jc w:val="both"/>
      </w:pPr>
      <w:r>
        <w:rPr>
          <w:rFonts w:ascii="仿宋_GB2312" w:hAnsi="仿宋_GB2312" w:eastAsia="仿宋_GB2312"/>
          <w:b w:val="0"/>
          <w:sz w:val="32"/>
        </w:rPr>
        <w:t>2.公共安全支出(类)4,412.76万元,占82.99%。</w:t>
      </w:r>
    </w:p>
    <w:p>
      <w:pPr>
        <w:spacing w:line="580" w:lineRule="exact"/>
        <w:ind w:firstLine="640"/>
        <w:jc w:val="both"/>
      </w:pPr>
      <w:r>
        <w:rPr>
          <w:rFonts w:ascii="仿宋_GB2312" w:hAnsi="仿宋_GB2312" w:eastAsia="仿宋_GB2312"/>
          <w:b w:val="0"/>
          <w:sz w:val="32"/>
        </w:rPr>
        <w:t>3.社会保障和就业支出(类)470.63万元,占8.85%。</w:t>
      </w:r>
    </w:p>
    <w:p>
      <w:pPr>
        <w:spacing w:line="580" w:lineRule="exact"/>
        <w:ind w:firstLine="640"/>
        <w:jc w:val="both"/>
      </w:pPr>
      <w:r>
        <w:rPr>
          <w:rFonts w:ascii="仿宋_GB2312" w:hAnsi="仿宋_GB2312" w:eastAsia="仿宋_GB2312"/>
          <w:b w:val="0"/>
          <w:sz w:val="32"/>
        </w:rPr>
        <w:t>4.卫生健康支出(类)152.29万元,占2.86%。</w:t>
      </w:r>
    </w:p>
    <w:p>
      <w:pPr>
        <w:spacing w:line="580" w:lineRule="exact"/>
        <w:ind w:firstLine="640"/>
        <w:jc w:val="both"/>
      </w:pPr>
      <w:r>
        <w:rPr>
          <w:rFonts w:ascii="仿宋_GB2312" w:hAnsi="仿宋_GB2312" w:eastAsia="仿宋_GB2312"/>
          <w:b w:val="0"/>
          <w:sz w:val="32"/>
        </w:rPr>
        <w:t>5.住房保障支出(类)227.47万元,占4.28%。</w:t>
      </w:r>
    </w:p>
    <w:p>
      <w:pPr>
        <w:spacing w:line="580" w:lineRule="exact"/>
        <w:ind w:firstLine="640"/>
        <w:jc w:val="both"/>
      </w:pPr>
      <w:r>
        <w:rPr>
          <w:rFonts w:ascii="仿宋_GB2312" w:hAnsi="仿宋_GB2312" w:eastAsia="仿宋_GB2312"/>
          <w:b w:val="0"/>
          <w:sz w:val="32"/>
        </w:rPr>
        <w:t>6.其他支出(类)48.92万元,占0.92%。</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1.一般公共服务支出(类)信访事务(款)信访业务(项):支出决算数为5.00万元，比上年决算增加5.00万元，增长100.00%,主要原因是：本年增加集中清理重复信访、化解信访疑难案件经费。</w:t>
      </w:r>
    </w:p>
    <w:p>
      <w:pPr>
        <w:spacing w:line="580" w:lineRule="exact"/>
        <w:ind w:firstLine="640"/>
        <w:jc w:val="both"/>
      </w:pPr>
      <w:r>
        <w:rPr>
          <w:rFonts w:ascii="仿宋_GB2312" w:hAnsi="仿宋_GB2312" w:eastAsia="仿宋_GB2312"/>
          <w:b w:val="0"/>
          <w:sz w:val="32"/>
        </w:rPr>
        <w:t>2.公共安全支出(类)法院(款)行政运行(项):支出决算数为3,421.16万元，比上年决算增加351.28万元，增长11.44%,主要原因是：本年在职人员工资调增，导致相关人员经费较上年有所增加。增加劳务费，导致经费增加。</w:t>
      </w:r>
    </w:p>
    <w:p>
      <w:pPr>
        <w:spacing w:line="580" w:lineRule="exact"/>
        <w:ind w:firstLine="640"/>
        <w:jc w:val="both"/>
      </w:pPr>
      <w:r>
        <w:rPr>
          <w:rFonts w:ascii="仿宋_GB2312" w:hAnsi="仿宋_GB2312" w:eastAsia="仿宋_GB2312"/>
          <w:b w:val="0"/>
          <w:sz w:val="32"/>
        </w:rPr>
        <w:t>3.公共安全支出(类)法院(款)一般行政管理事务(项):支出决算数为94.38万元，比上年决算减少755.15万元，下降88.89%,主要原因是：本年机关运行补助经费较上年减少。</w:t>
      </w:r>
    </w:p>
    <w:p>
      <w:pPr>
        <w:spacing w:line="580" w:lineRule="exact"/>
        <w:ind w:firstLine="640"/>
        <w:jc w:val="both"/>
      </w:pPr>
      <w:r>
        <w:rPr>
          <w:rFonts w:ascii="仿宋_GB2312" w:hAnsi="仿宋_GB2312" w:eastAsia="仿宋_GB2312"/>
          <w:b w:val="0"/>
          <w:sz w:val="32"/>
        </w:rPr>
        <w:t>4.公共安全支出(类)法院(款)其他法院支出(项):支出决算数为897.23万元，比上年决算增加132.90万元，增长17.39%,主要原因是：本年中央政法纪检监察转移支付资金较上年增加。</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5.社会保障和就业支出(类)行政事业单位养老支出(款)行政单位离退休(项):支出决算数为39.26万元，比上年决算增加13.77万元，增长54.02%,主要原因是：本年增加退休人员基础绩效奖，退休费支出增加。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284.34万元，比上年决算增加2.87万元，增长1.02%,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147.03万元，比上年决算增加13.26万元，增长9.91%,主要原因是：本年补缴退休干警职业年金，新增退休人员，职业年金缴费支出增加。</w:t>
      </w:r>
    </w:p>
    <w:p>
      <w:pPr>
        <w:spacing w:line="580" w:lineRule="exact"/>
        <w:ind w:firstLine="640"/>
        <w:jc w:val="both"/>
      </w:pPr>
      <w:r>
        <w:rPr>
          <w:rFonts w:ascii="仿宋_GB2312" w:hAnsi="仿宋_GB2312" w:eastAsia="仿宋_GB2312"/>
          <w:b w:val="0"/>
          <w:sz w:val="32"/>
        </w:rPr>
        <w:t>8.卫生健康支出(类)行政事业单位医疗(款)行政单位医疗(项):支出决算数为142.17万元，比上年决算减少4.83万元，下降3.29%,主要原因是：本年在职人员减少，行政单位医疗缴费减少。</w:t>
      </w:r>
    </w:p>
    <w:p>
      <w:pPr>
        <w:spacing w:line="580" w:lineRule="exact"/>
        <w:ind w:firstLine="640"/>
        <w:jc w:val="both"/>
      </w:pPr>
      <w:r>
        <w:rPr>
          <w:rFonts w:ascii="仿宋_GB2312" w:hAnsi="仿宋_GB2312" w:eastAsia="仿宋_GB2312"/>
          <w:b w:val="0"/>
          <w:sz w:val="32"/>
        </w:rPr>
        <w:t>9.卫生健康支出(类)行政事业单位医疗(款)公务员医疗补助(项):支出决算数为8.89万元，比上年决算减少2.86万元，下降24.34%,主要原因是：本年在职人员减少，公务员医疗补助缴费减少。</w:t>
      </w:r>
    </w:p>
    <w:p>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10.卫生健康支出(类)行政事业单位医疗(款)其他行政事业单位医疗支出(项):支出决算数为1.24万元，比上年决算增加0.05万元，增长4.20%,主要原因是：本年在职人员工资基数调增，医疗缴费基数上涨，相应支出增加。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11.住房保障支出(类)住房改革支出(款)住房公积金(项):支出决算数为227.47万元，比上年决算减少30.69万元，下降11.89%,主要原因是：本年在职人员减少，住房公积金缴费较上年减少。</w:t>
      </w:r>
    </w:p>
    <w:p>
      <w:pPr>
        <w:spacing w:line="580" w:lineRule="exact"/>
        <w:ind w:firstLine="640"/>
        <w:jc w:val="both"/>
      </w:pPr>
      <w:r>
        <w:rPr>
          <w:rFonts w:ascii="仿宋_GB2312" w:hAnsi="仿宋_GB2312" w:eastAsia="仿宋_GB2312"/>
          <w:b w:val="0"/>
          <w:sz w:val="32"/>
        </w:rPr>
        <w:t>12.其他支出(类)其他支出(款)其他支出(项):支出决算数为48.92万元，比上年决算增加7.64万元，增长18.51%,主要原因是：本年为民办实事工作经费较上年增加。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2024年度一般公共预算财政拨款基本支出4,278.82万元，其中：</w:t>
      </w:r>
      <w:r>
        <w:rPr>
          <w:rFonts w:ascii="仿宋_GB2312" w:hAnsi="仿宋_GB2312" w:eastAsia="仿宋_GB2312"/>
          <w:b/>
          <w:sz w:val="32"/>
        </w:rPr>
        <w:t>人员经费3,714.74万元，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奖励金。</w:t>
      </w:r>
    </w:p>
    <w:p>
      <w:pPr>
        <w:spacing w:line="580" w:lineRule="exact"/>
        <w:ind w:firstLine="640"/>
        <w:jc w:val="both"/>
      </w:pPr>
      <w:r>
        <w:rPr>
          <w:rFonts w:ascii="仿宋_GB2312" w:hAnsi="仿宋_GB2312" w:eastAsia="仿宋_GB2312"/>
          <w:b/>
          <w:sz w:val="32"/>
        </w:rPr>
        <w:t>公用经费564.08万元，</w:t>
      </w:r>
      <w:r>
        <w:rPr>
          <w:rFonts w:ascii="仿宋_GB2312" w:hAnsi="仿宋_GB2312" w:eastAsia="仿宋_GB2312"/>
          <w:b w:val="0"/>
          <w:sz w:val="32"/>
        </w:rPr>
        <w:t>包括：办公费、水费、电费、取暖费、物业管理费、维修（护）费、公务接待费、劳务费、委托业务费、工会经费、福利费、其他商品和服务支出。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2024年度财政拨款“三公”经费支出24.03万元，</w:t>
      </w:r>
      <w:r>
        <w:rPr>
          <w:rFonts w:ascii="仿宋_GB2312" w:hAnsi="仿宋_GB2312" w:eastAsia="仿宋_GB2312"/>
          <w:b w:val="0"/>
          <w:sz w:val="32"/>
        </w:rPr>
        <w:t>比上年增加0.07万元，增长0.29%，主要原因是：本年因业务需求，增加公务接待工作，导致公务接待费较上年增加。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公务用车购置及运行维护费支出23.95万元，占99.67%，比上年减少0.01万元，下降0.04%，主要原因是：严格落实中央八项规定精神，厉行节约，减少公务用车运行维护费。</w:t>
      </w:r>
      <w:r>
        <w:rPr>
          <w:rFonts w:ascii="仿宋_GB2312" w:hAnsi="仿宋_GB2312" w:eastAsia="仿宋_GB2312"/>
          <w:b w:val="0"/>
          <w:sz w:val="32"/>
        </w:rPr>
        <w:t>公务接待费支出0.08万元，占0.33%，比上年增加0.08万元，增长100.00%，主要原因是：本年因业务需求，增加公务接待工作，导致公务接待费较上年增加。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23.95万元，其中：公务用车购置费0.00万元，公务用车运行维护费23.95万元。公务用车运行维护费开支内容包括公务用车燃油费、维修费、过路费、保险费。公务用车购置数0辆，公务用车保有量20辆。国有资产占用情况中固定资产车辆20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公务接待费0.08万元，开支内容包括因工作检查，接待上级领导产生的就餐费。单位全年安排的国内公务接待1批次，10人次。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24.03万元，决算数24.03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23.95万元，决算数23.95万元，预决算差异率0.00%，主要原因是：严格按照预算执行，预决算无差异。公务接待费全年预算数0.08万元，决算数0.08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2024年度昌吉市人民法院（行政单位和参照公务员法管理事业单位）机关运行经费支出564.08万元，比上年增加251.70万元，增长80.57%，主要原因是：本年增加往年及2024年劳务费，导致机关运行经费增加。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2024年度政府采购支出总额272.56万元，其中：政府采购货物支出130.19万元、政府采购工程支出0.00万元、政府采购服务支出142.36万元。</w:t>
      </w:r>
    </w:p>
    <w:p>
      <w:pPr>
        <w:spacing w:line="580" w:lineRule="exact"/>
        <w:ind w:firstLine="640"/>
        <w:jc w:val="both"/>
      </w:pPr>
      <w:r>
        <w:rPr>
          <w:rFonts w:ascii="仿宋_GB2312" w:hAnsi="仿宋_GB2312" w:eastAsia="仿宋_GB2312"/>
          <w:b w:val="0"/>
          <w:sz w:val="32"/>
        </w:rPr>
        <w:t>授予中小企业合同金额272.56万元，占政府采购支出总额的100.00%，其中：授予小微企业合同金额272.56万元，占政府采购支出总额的100.00%。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9,185.00平方米，价值1,290.93万元。车辆20辆，价值471.64万元，其中：副部（省）级及以上领导用车0辆、主要负责人用车2辆、机要通信用车0辆、应急保障用车0辆、执法执勤用车18辆、特种专业技术用车0辆、离退休干部服务用车0辆、其他用车0辆，其他用车主要是：本单位无其他用车。单价100万元（含）以上设备（不含车辆）1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5,408.47万元，实际执行总额5,357.11万元；预算绩效评价项目6个，全年预算数119.38万元，全年执行数118.38万元。预算绩效管理取得的成效：昌吉市人民法院大力加强法律法规学习宣传，突出学习宪法，牢固树立法意识，维护完法权威。紧紧围绕促进我市经济平稳较快发展、促进改善民生、促进社会和谐、促进人的全面发展，大力宣传宏观调控、资源环境、土地流转、保护知识产权等法律法规;继续深化社会管理、打击连法犯罪、依法信访、依法维权等方面法律的宣传力度；积极开展面向全社会的社会主义法治理念教育，引导公民自觉践行社会主义法治理念；广泛深入开展“法律下多”活动，切实抓好重点对象法治宣传教育；积极探索和创新法治宣传教育的方式方法，加大普法宣传进多镇、进社区；积极推进普法规划的全面落实。认宾贯彻落实司法部、全国普法办精神要求；依法审判法律规定由基层人民法院管辖，自治州中级人民法院指定管辖或者认为应当由自己审判的刑事、民事、行政等第一审案件。发现的问题及原因：我单位因费用报账支付时，按照预算规定的费用项目和用途进行资金使用审核时存在与各个法庭时间差的问题，导致在项目资金管理中，存在支付不及时，年底未完成支付的问题。单位对预算绩效管理工作重视程度不够，存在 “重编制、轻监控”“重支出、轻评价” 的错误观念，工作中主动性和积极性不足，未将绩效监控纳入日常管理重要环节，严重影响预算绩效工作的质量和效果。对此，我们将积极采取有效措施，认真加以解决。下一步改进措施：我单位将提高资金使用率，及时支付。在资金管理方面，加强对预算的监督管理，同时加强预算资金管理的执行力度，完善预算资金的监督体系，要加强各部门之间的联系，使各部门共同参与财政预算资金监督管理，强化单位财政资金的跟踪监察，对资金的申报、拨付及使用情况进行监管。在费用报账支付时，按照预算规定的费用项目和用途进行资金使用审核、列报支付、财务核算，杜绝超支现象的发生。财政和项目实施单位严格实行“三专”管理，即设专户、建专账帐、定专人。加强各法庭业务科室的沟通，保障经费的足额及时落实。进一步加强预算管理，预算编制依据充分合理，避免预算统筹考虑不足，出现预算执行不均衡现象。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昌吉市人民法院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758.77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934.83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99.05%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4,050.82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4,387.07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4,382.24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4,809.59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5,408.47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5,357.11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昌吉市人民法院是国家审判机关，对市人民代表大会及常务委员会负责并报告工作，接受自治州中级人民法院对审判工作的监督和业务指导，正科级建制，单位人员143人，使业务保障能力有效提升；履行审判执行工作职能，依法受理、审、执案件，努力让人民群众在每一个司法案件中感受到公平正义，受理案件数量1.17万件，审结案件数量0.97万件，达到保障法院工作顺利开展的效果；依法审判法律规定由基层人民法院管辖，自治州中级人民法院指定管辖或者认为应当由自己审判的刑事、民事、行政等第一审案件。审理上级法院指令再审的各类案件；受理不服本院一审生效裁判的各类申诉和再诉申请，对其中确有错误的，依法提起再审。依法审判由市人民检察院按照审判监督程序提出的抗诉案件；处理不需要开庭审判的民事纠纷和轻微的刑事案件；依法行使司法执行权和司法决定权；依法办理外地法院委托办理的司法协助事项；对法院的法官和其他工作人员进行思想政治教育，组织业务专业培训和监督管理工作；指导基层人民调解委员会的工作；在审判工作中宣传法制，教育公民自觉遵守宪法、法律；管理人民法院的有关经费和物质装备。精简后勤机构及人员，实现部门科学设置和精简统一。统一事权节约，降低管理成本。更好的满足人民群众司法新要求和促进经济高速发展保驾护航。</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5408.47万元，全年执行数为5,357.11万元，总预算执行率为99.05%。2024年我单位完成以下工作内容：1.审限内结案率达到99.97%；2.延长审限率达到0%；3.保障办公人员数量143人；4.后勤保障人员配备数20人。通过以上工作的实施，更好的满足人民群众司法新要求和促进经济高速发展保驾护航，达到提升群众幸福感的效果。</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审限内结案率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&gt;89.99%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《最高人民法院财政部关于法院业务费开支范围的规定的通知》（法(司)发[1985]23号）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&gt;=143人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《最高人民法院财政部关于法院业务费开支范围的规定的通知》（法(司)发[1985]23号）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后勤保障人员配备数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《中央国家机关购买后勤服务管理办法(试行)》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延长审限率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《最高人民法院财政部关于法院业务费开支范围的规定的通知》（法(司)发[1985]23号）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2024年西部志愿者宿舍租赁费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给我院2名西部志愿者租赁房屋，为其提供租赁安全舒适住所，确保志愿者居住环境安全、舒适，配备必要生活设施，满足日常休息、学习与生活需求，让志愿者安心投入服务工作，提高其工作效率，使志愿者满意度达到90%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项目实际给我院2名西部志愿者租赁房屋，为其提供租赁安全舒适住所，确保志愿者居住环境安全、舒适，配备必要生活设施，满足日常休息、学习与生活需求，让志愿者安心投入服务工作，提高志愿者工作效率。</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房屋租赁数量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志愿者保障覆盖率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租金支付时间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2024年12月9日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房屋租赁时长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=12个月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=12个月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租赁标准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确保志愿者居住环境安全舒适</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有效确保</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志愿者满意度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年初目标实施情况较低，年底实施较好，超额完成指标。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三工法庭基础建设项目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2024年该项目计划向三工法庭基础建设单位支付欠款10万元，此项目支付1个项目尾款。项目已投入使用。计划2024年12月10日前完成支付放。通过该项目的实施，防范财政风险，提升政府公信力，保证受益企业满意。</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截止至2024年12月31日，该项目已支付1个项目尾款，维修项目1个，通过该项目的实施，防范财政风险，提升政府公信力。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支付项目尾款数量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维修项目个数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尾款支付完成时间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2024年7月24日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三工法庭基础建设项目尾款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防范财政风险，提升政府公信力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有效防范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受益企业满意度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年初目标实施情况较低，年底实施较好，超额完成指标。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三工法庭移动厢房</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通过为我院三工法庭采购彩钢房支付尾款1个，项目验收合格率为100%，防范财政风险，提升政府公信力，使受益企业满意度达到90%以上。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截止至2024年12月31日，该项目采购彩钢房支付尾款1个，通过该项目的实施，防范财政风险，提升政府公信力。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支付项目尾款数量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尾款支付完成时间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2024年12月9日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三工法庭项目尾款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防范财政风险，提升政府公信力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有效防范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纠纷发生率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受益企业满意度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年初目标实施情况较低，年底实施较好，超额完成指标。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五个好党支部示范活动经费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邀请党校老师培训,开展主题党日活动和购买相关图书，帮扶辖区困难群众，增强党组织凝聚力，吸引党员积极参与，增强党组织在群众中的影响力和号召力，让党员归属感显著提升，促进党群关系和谐，使参与活动的党员满意度达到90%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截止至2024年12月31日，该项目实际实际未开展，是因为我单位今年党建人员工作变动，未及时交接，支部成员工作繁忙，难以协调统一时间，故未来得及时开展此项工作。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开展主题党日活动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该项目实际实际未开展，是因为我单位今年党建人员工作变动，未及时交接，支部成员工作繁忙，难以协调统一时间，故未来得及及时开展此项工作。</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购买图书批次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该项目实际实际未开展，是因为我单位今年党建人员工作变动，未及时交接，支部成员工作繁忙，难以协调统一时间，故未来得及及时开展此项工作。</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图书验收合格率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该项目实际实际未开展，是因为我单位今年党建人员工作变动，未及时交接，支部成员工作繁忙，难以协调统一时间，故未来得及及时开展此项工作。</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该项目实际实际未开展，是因为我单位今年党建人员工作变动，未及时交接，支部成员工作繁忙，难以协调统一时间，故未来得及及时开展此项工作。</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购买图书经费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该项目实际实际未开展，是因为我单位今年党建人员工作变动，未及时交接，支部成员工作繁忙，难以协调统一时间，故未来得及及时开展此项工作。</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促进党群关系和谐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该项目实际实际未开展，是因为我单位今年党建人员工作变动，未及时交接，支部成员工作繁忙，难以协调统一时间，故未来得及及时开展此项工作。</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参与活动的党员满意度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该项目实际实际未开展，是因为我单位今年党建人员工作变动，未及时交接，支部成员工作繁忙，难以协调统一时间，故未来得及及时开展此项工作。</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庭州法治人才育才专项行动项目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2024年该项目计划培养1名法治人才，并向其发放1次生活补助，资金发放准确率达到100%。通过该项目的实施，提升单位法治人才质量与法治工作水平。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截止至2024年12月31日，该项目实际培养1名法治人才，并向其发放1次生活补助，通过该项目的实施，提升单位法治人才质量与法治工作水平。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发放生活补助次数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资金发放准确率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2024年6月25日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生活补助费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科研费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提升单位法治人才质量与法治工作水平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物业外包项目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昌吉市人民法院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91.38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91.38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91.38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91.38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昌吉市人民法院是国家审判机关，对市人民代表大会及常务委员会负责并报告工作，接受自治州中级人民法院对审判工作的监督和工作指导，正科级建制，单位人员147人，履行审判执行工作职能，依法受理审、执案件，努力让人民群众在每一个司法案件中感受到公平正义。</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截止至2024年12月31日，该项目实际完成后勤保障人员20人，保障人员数143人，通过该项目的实施，维护了社会稳定与长治久安。</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后勤保障人员配备数（人）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保障人员数（人）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&gt;=143人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物业规范管理率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我单位年初目标实施情况较低，年底实施较好，超额完成指标。</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工资、社保、税费经费数（万元）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&lt;=89.46万元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服装、物料经费数（万元）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维护社会稳定与长治久安</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社会公众满意度（%）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107.53%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我单位年初目标实施情况较低，年底实施较好，超额完成指标。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本年本单位SM项目4个，全年预算数959.83万元，全年执行数959.83万元。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