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昌吉回族自治州总工会2024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工会主要承担着参与、维护、建设、教育四大职能，其中维护职工合法权益是工会的基本职责。</w:t>
      </w:r>
    </w:p>
    <w:p>
      <w:pPr>
        <w:spacing w:line="580" w:lineRule="exact"/>
        <w:ind w:firstLine="640"/>
        <w:jc w:val="both"/>
      </w:pPr>
      <w:r>
        <w:rPr>
          <w:rFonts w:ascii="仿宋_GB2312" w:hAnsi="仿宋_GB2312" w:eastAsia="仿宋_GB2312"/>
          <w:sz w:val="32"/>
        </w:rPr>
        <w:t>工会组织应该代表和组织职工参与本单位的民主决策，民主管理和民主监督;工会组织必须代表和维护职工合法权益;工会组织应该动员和组织职工参加改革和建设，努力完成各项工作任务；工会组织应该教育职工不断提高思想道德和职业道德、技术业务和科学文化素质，建设“四有”职工队伍。</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昌吉回族自治州总工会2024年度，实有人数43人，其中：在职人员14人，减少2人；离休人员0人，增加0人；退休人员29人,增加4人。</w:t>
      </w:r>
    </w:p>
    <w:p>
      <w:pPr>
        <w:spacing w:line="580" w:lineRule="exact"/>
        <w:ind w:firstLine="640"/>
        <w:jc w:val="both"/>
      </w:pPr>
      <w:r>
        <w:rPr>
          <w:rFonts w:ascii="仿宋_GB2312" w:hAnsi="仿宋_GB2312" w:eastAsia="仿宋_GB2312"/>
          <w:sz w:val="32"/>
        </w:rPr>
        <w:t>从部门决算单位构成看，昌吉回族自治州总工会单位决算包括：昌吉回族自治州总工会（本级）决算及所属单位决算。</w:t>
      </w:r>
    </w:p>
    <w:p>
      <w:pPr>
        <w:spacing w:line="580" w:lineRule="exact"/>
        <w:ind w:firstLine="640"/>
        <w:jc w:val="both"/>
      </w:pPr>
      <w:r>
        <w:rPr>
          <w:rFonts w:ascii="仿宋_GB2312" w:hAnsi="仿宋_GB2312" w:eastAsia="仿宋_GB2312"/>
          <w:sz w:val="32"/>
        </w:rPr>
        <w:t>昌吉回族自治州总工会本级下设4个科室，分别是：办公室、组宣部、经审科、帮扶办公室。</w:t>
      </w:r>
    </w:p>
    <w:p>
      <w:pPr>
        <w:spacing w:line="580" w:lineRule="exact"/>
        <w:ind w:firstLine="640"/>
        <w:jc w:val="both"/>
      </w:pPr>
      <w:r>
        <w:rPr>
          <w:rFonts w:ascii="仿宋_GB2312" w:hAnsi="仿宋_GB2312" w:eastAsia="仿宋_GB2312"/>
          <w:sz w:val="32"/>
        </w:rPr>
        <w:t>纳入昌吉回族自治州总工会2024年度单位决算编制范围的下属预算单位包括：</w:t>
      </w:r>
    </w:p>
    <w:p>
      <w:pPr>
        <w:spacing w:line="580" w:lineRule="exact"/>
        <w:ind w:firstLine="640"/>
        <w:jc w:val="both"/>
      </w:pPr>
      <w:r>
        <w:rPr>
          <w:rFonts w:ascii="仿宋_GB2312" w:hAnsi="仿宋_GB2312" w:eastAsia="仿宋_GB2312"/>
          <w:sz w:val="32"/>
        </w:rPr>
        <w:t>1. 昌吉工人文化宫</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2024年度收入总计704.11万元，</w:t>
      </w:r>
      <w:r>
        <w:rPr>
          <w:rFonts w:ascii="仿宋_GB2312" w:hAnsi="仿宋_GB2312" w:eastAsia="仿宋_GB2312"/>
          <w:b w:val="0"/>
          <w:sz w:val="32"/>
        </w:rPr>
        <w:t>其中：本年收入合计704.11万元，使用非财政拨款结余（含专用结余）0.00万元，年初结转和结余0.00万元。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2024年度支出总计704.11万元，</w:t>
      </w:r>
      <w:r>
        <w:rPr>
          <w:rFonts w:ascii="仿宋_GB2312" w:hAnsi="仿宋_GB2312" w:eastAsia="仿宋_GB2312"/>
          <w:b w:val="0"/>
          <w:sz w:val="32"/>
        </w:rPr>
        <w:t>其中：本年支出合计704.11万元，结余分配0.00万元，年末结转和结余0.00万元。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增加214.12万元，增长43.70%，主要原因是：本年增加昌吉州市工人文化宫建设、庭州工匠育才行动项目。</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本年收入704.11万元，</w:t>
      </w:r>
      <w:r>
        <w:rPr>
          <w:rFonts w:ascii="仿宋_GB2312" w:hAnsi="仿宋_GB2312" w:eastAsia="仿宋_GB2312"/>
          <w:b w:val="0"/>
          <w:sz w:val="32"/>
        </w:rPr>
        <w:t>其中：财政拨款收入704.11万元，占100.00%；上级补助收入0.00万元，占0.00%；事业收入0.00万元，占0.00%；经营收入0.00万元，占0.00%；附属单位上缴收入0.00万元，占0.00%；其他收入0.00万元，占0.00%。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本年支出704.11万元，</w:t>
      </w:r>
      <w:r>
        <w:rPr>
          <w:rFonts w:ascii="仿宋_GB2312" w:hAnsi="仿宋_GB2312" w:eastAsia="仿宋_GB2312"/>
          <w:b w:val="0"/>
          <w:sz w:val="32"/>
        </w:rPr>
        <w:t>其中：基本支出372.01万元，占52.83%；项目支出332.10万元，占47.17%；上缴上级支出0.00万元，占0.00%；经营支出0.00万元，占0.00%；对附属单位补助支出0.00万元，占0.00%。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2024年度财政拨款收入总计704.11万元，</w:t>
      </w:r>
      <w:r>
        <w:rPr>
          <w:rFonts w:ascii="仿宋_GB2312" w:hAnsi="仿宋_GB2312" w:eastAsia="仿宋_GB2312"/>
          <w:b w:val="0"/>
          <w:sz w:val="32"/>
        </w:rPr>
        <w:t>其中：年初财政拨款结转和结余0.00万元，本年财政拨款收入704.11万元。</w:t>
      </w:r>
      <w:r>
        <w:rPr>
          <w:rFonts w:ascii="仿宋_GB2312" w:hAnsi="仿宋_GB2312" w:eastAsia="仿宋_GB2312"/>
          <w:b/>
          <w:sz w:val="32"/>
        </w:rPr>
        <w:t>财政拨款支出总计704.11万元，</w:t>
      </w:r>
      <w:r>
        <w:rPr>
          <w:rFonts w:ascii="仿宋_GB2312" w:hAnsi="仿宋_GB2312" w:eastAsia="仿宋_GB2312"/>
          <w:b w:val="0"/>
          <w:sz w:val="32"/>
        </w:rPr>
        <w:t>其中：年末财政拨款结转和结余0.00万元，本年财政拨款支出704.11万元。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增加214.12万元，增长43.70%，主要原因是：本年增加昌吉州市工人文化宫建设、庭州工匠育才行动项目。</w:t>
      </w:r>
      <w:r>
        <w:rPr>
          <w:rFonts w:ascii="仿宋_GB2312" w:hAnsi="仿宋_GB2312" w:eastAsia="仿宋_GB2312"/>
          <w:b/>
          <w:sz w:val="32"/>
        </w:rPr>
        <w:t>与年初预算相比，</w:t>
      </w:r>
      <w:r>
        <w:rPr>
          <w:rFonts w:ascii="仿宋_GB2312" w:hAnsi="仿宋_GB2312" w:eastAsia="仿宋_GB2312"/>
          <w:b w:val="0"/>
          <w:sz w:val="32"/>
        </w:rPr>
        <w:t>年初预算数610.12万元，决算数704.11万元，预决算差异率15.41%，主要原因是：年中追加庭州工匠育才行动、公务用车租赁费、驻村为民办实事项目。</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2024年度一般公共预算财政拨款支出704.11万元，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增加214.12万元，增长43.70%，主要原因是：本年增加昌吉州市工人文化宫建设、庭州工匠育才行动项目。</w:t>
      </w:r>
      <w:r>
        <w:rPr>
          <w:rFonts w:ascii="仿宋_GB2312" w:hAnsi="仿宋_GB2312" w:eastAsia="仿宋_GB2312"/>
          <w:b/>
          <w:sz w:val="32"/>
        </w:rPr>
        <w:t>与年初预算相比,</w:t>
      </w:r>
      <w:r>
        <w:rPr>
          <w:rFonts w:ascii="仿宋_GB2312" w:hAnsi="仿宋_GB2312" w:eastAsia="仿宋_GB2312"/>
          <w:b w:val="0"/>
          <w:sz w:val="32"/>
        </w:rPr>
        <w:t>年初预算数610.12万元，决算数704.11万元，预决算差异率15.41%，主要原因是：年中追加庭州工匠育才行动、公务用车租赁费、驻村为民办实事项目。</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1.一般公共服务支出(类)543.01万元,占77.12%。</w:t>
      </w:r>
    </w:p>
    <w:p>
      <w:pPr>
        <w:spacing w:line="580" w:lineRule="exact"/>
        <w:ind w:firstLine="640"/>
        <w:jc w:val="both"/>
      </w:pPr>
      <w:r>
        <w:rPr>
          <w:rFonts w:ascii="仿宋_GB2312" w:hAnsi="仿宋_GB2312" w:eastAsia="仿宋_GB2312"/>
          <w:b w:val="0"/>
          <w:sz w:val="32"/>
        </w:rPr>
        <w:t>2.社会保障和就业支出(类)99.82万元,占14.18%。</w:t>
      </w:r>
    </w:p>
    <w:p>
      <w:pPr>
        <w:spacing w:line="580" w:lineRule="exact"/>
        <w:ind w:firstLine="640"/>
        <w:jc w:val="both"/>
      </w:pPr>
      <w:r>
        <w:rPr>
          <w:rFonts w:ascii="仿宋_GB2312" w:hAnsi="仿宋_GB2312" w:eastAsia="仿宋_GB2312"/>
          <w:b w:val="0"/>
          <w:sz w:val="32"/>
        </w:rPr>
        <w:t>3.卫生健康支出(类)20.61万元,占2.93%。</w:t>
      </w:r>
    </w:p>
    <w:p>
      <w:pPr>
        <w:spacing w:line="580" w:lineRule="exact"/>
        <w:ind w:firstLine="640"/>
        <w:jc w:val="both"/>
      </w:pPr>
      <w:r>
        <w:rPr>
          <w:rFonts w:ascii="仿宋_GB2312" w:hAnsi="仿宋_GB2312" w:eastAsia="仿宋_GB2312"/>
          <w:b w:val="0"/>
          <w:sz w:val="32"/>
        </w:rPr>
        <w:t>4.住房保障支出(类)27.03万元,占3.84%。</w:t>
      </w:r>
    </w:p>
    <w:p>
      <w:pPr>
        <w:spacing w:line="580" w:lineRule="exact"/>
        <w:ind w:firstLine="640"/>
        <w:jc w:val="both"/>
      </w:pPr>
      <w:r>
        <w:rPr>
          <w:rFonts w:ascii="仿宋_GB2312" w:hAnsi="仿宋_GB2312" w:eastAsia="仿宋_GB2312"/>
          <w:b w:val="0"/>
          <w:sz w:val="32"/>
        </w:rPr>
        <w:t>5.其他支出(类)13.64万元,占1.94%。</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1.一般公共服务支出(类)群众团体事务(款)行政运行(项):支出决算数为127.59万元，比上年决算减少53.35万元，下降29.48%,主要原因是：本年在职人员减少，相应人员经费较上年减少。</w:t>
      </w:r>
    </w:p>
    <w:p>
      <w:pPr>
        <w:spacing w:line="580" w:lineRule="exact"/>
        <w:ind w:firstLine="640"/>
        <w:jc w:val="both"/>
      </w:pPr>
      <w:r>
        <w:rPr>
          <w:rFonts w:ascii="仿宋_GB2312" w:hAnsi="仿宋_GB2312" w:eastAsia="仿宋_GB2312"/>
          <w:b w:val="0"/>
          <w:sz w:val="32"/>
        </w:rPr>
        <w:t>2.一般公共服务支出(类)群众团体事务(款)一般行政管理事务(项):支出决算数为138.60万元，比上年决算增加64.50万元，增长87.04%,主要原因是：本年增加劳模慰问金项目资金，庭州工匠育才行动项目。</w:t>
      </w:r>
    </w:p>
    <w:p>
      <w:pPr>
        <w:spacing w:line="580" w:lineRule="exact"/>
        <w:ind w:firstLine="640"/>
        <w:jc w:val="both"/>
      </w:pPr>
      <w:r>
        <w:rPr>
          <w:rFonts w:ascii="仿宋_GB2312" w:hAnsi="仿宋_GB2312" w:eastAsia="仿宋_GB2312"/>
          <w:b w:val="0"/>
          <w:sz w:val="32"/>
        </w:rPr>
        <w:t>3.一般公共服务支出(类)群众团体事务(款)工会事务(项):支出决算数为183.50万元，比上年决算增加183.50万元，增长100.00%,主要原因是：本年增加昌吉工人文化宫建设项目，公务用车租赁费。</w:t>
      </w:r>
    </w:p>
    <w:p>
      <w:pPr>
        <w:spacing w:line="580" w:lineRule="exact"/>
        <w:ind w:firstLine="640"/>
        <w:jc w:val="both"/>
      </w:pPr>
      <w:r>
        <w:rPr>
          <w:rFonts w:ascii="仿宋_GB2312" w:hAnsi="仿宋_GB2312" w:eastAsia="仿宋_GB2312"/>
          <w:b w:val="0"/>
          <w:sz w:val="32"/>
        </w:rPr>
        <w:t>4.一般公共服务支出(类)群众团体事务(款)事业运行(项):支出决算数为93.32万元，比上年决算增加7.62万元，增长8.89%,主要原因是：本年在职人员工资调增，导致相关人员经费较上年有所增加。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5.社会保障和就业支出(类)行政事业单位养老支出(款)行政单位离退休(项):支出决算数为17.04万元，比上年决算增加6.16万元，增长56.62%,主要原因是：本年退休人员增加，发放退休人员基础绩效，退休费支出增加。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34.68万元，比上年决算增加2.77万元，增长8.68%,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48.11万元，比上年决算增加32.15万元，增长201.44%,主要原因是：本年新增退休人员，在职人员工资调增，职业年金缴费支出增加。</w:t>
      </w:r>
    </w:p>
    <w:p>
      <w:pPr>
        <w:spacing w:line="580" w:lineRule="exact"/>
        <w:ind w:firstLine="640"/>
        <w:jc w:val="both"/>
      </w:pPr>
      <w:r>
        <w:rPr>
          <w:rFonts w:ascii="仿宋_GB2312" w:hAnsi="仿宋_GB2312" w:eastAsia="仿宋_GB2312"/>
          <w:b w:val="0"/>
          <w:sz w:val="32"/>
        </w:rPr>
        <w:t>8.卫生健康支出(类)行政事业单位医疗(款)行政单位医疗(项):支出决算数为10.87万元，比上年决算增加1.21万元，增长12.53%,主要原因是：本年在职人员工资基数调增，医疗缴费基数上涨，相应支出增加。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9.卫生健康支出(类)行政事业单位医疗(款)事业单位医疗(项):支出决算数为8.41万元，比上年决算增加2.12万元，增长33.70%,主要原因是：本年在职人员工资基数调增，医疗缴费基数上涨，相应支出增加。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10.卫生健康支出(类)行政事业单位医疗(款)公务员医疗补助(项):支出决算数为1.08万元，比上年决算增加0.08万元，增长8.00%,主要原因是：本年在职人员工资基数调增，医疗缴费基数上涨，相应支出增加。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11.卫生健康支出(类)行政事业单位医疗(款)其他行政事业单位医疗支出(项):支出决算数为0.25万元，比上年决算减少0.02万元，下降7.41%,主要原因是：本年在职人员工资基数调增，医疗缴费基数上涨，相应支出增加。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12.住房保障支出(类)住房改革支出(款)住房公积金(项):支出决算数为27.03万元，比上年决算增加1.92万元，增长7.65%,主要原因是：本年在职人员工资基数调增，公积金缴费基数上涨，相应支出增加。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13.其他支出(类)其他支出(款)其他支出(项):支出决算数为13.64万元，比上年决算减少34.53万元，下降71.68%,主要原因是：本年减少工代会会议费、驻村为民办实事经费。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2024年度一般公共预算财政拨款基本支出372.01万元，其中：</w:t>
      </w:r>
      <w:r>
        <w:rPr>
          <w:rFonts w:ascii="仿宋_GB2312" w:hAnsi="仿宋_GB2312" w:eastAsia="仿宋_GB2312"/>
          <w:b/>
          <w:sz w:val="32"/>
        </w:rPr>
        <w:t>人员经费339.23万元，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pPr>
        <w:spacing w:line="580" w:lineRule="exact"/>
        <w:ind w:firstLine="640"/>
        <w:jc w:val="both"/>
      </w:pPr>
      <w:r>
        <w:rPr>
          <w:rFonts w:ascii="仿宋_GB2312" w:hAnsi="仿宋_GB2312" w:eastAsia="仿宋_GB2312"/>
          <w:b/>
          <w:sz w:val="32"/>
        </w:rPr>
        <w:t>公用经费32.78万元，</w:t>
      </w:r>
      <w:r>
        <w:rPr>
          <w:rFonts w:ascii="仿宋_GB2312" w:hAnsi="仿宋_GB2312" w:eastAsia="仿宋_GB2312"/>
          <w:b w:val="0"/>
          <w:sz w:val="32"/>
        </w:rPr>
        <w:t>包括：办公费、印刷费、水费、电费、邮电费、取暖费、差旅费、公务接待费、工会经费、福利费、公务用车运行维护费、其他商品和服务支出。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2024年度财政拨款“三公”经费支出6.70万元，</w:t>
      </w:r>
      <w:r>
        <w:rPr>
          <w:rFonts w:ascii="仿宋_GB2312" w:hAnsi="仿宋_GB2312" w:eastAsia="仿宋_GB2312"/>
          <w:b w:val="0"/>
          <w:sz w:val="32"/>
        </w:rPr>
        <w:t>比上年增加3.52万元，增长110.69%，主要原因是：本年因业务需求，用车次数增加，燃油费增加，导致公务用车运行维护费较上年增加。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公务用车购置及运行维护费支出6.50万元，占97.01%，比上年增加3.50万元，增长116.67%，主要原因是：本年因业务需求，用车次数增加，燃油费增加，导致公务用车运行维护费较上年增加。</w:t>
      </w:r>
      <w:r>
        <w:rPr>
          <w:rFonts w:ascii="仿宋_GB2312" w:hAnsi="仿宋_GB2312" w:eastAsia="仿宋_GB2312"/>
          <w:b w:val="0"/>
          <w:sz w:val="32"/>
        </w:rPr>
        <w:t>公务接待费支出0.20万元，占2.99%，比上年增加0.02万元，增长11.11%，主要原因是：本年因业务需求，增加公务接待工作，导致公务接待费较上年增加。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6.50万元，其中：公务用车购置费0.00万元，公务用车运行维护费6.50万元。公务用车运行维护费开支内容包括车辆燃油费、保险费、维修维护费、过路费。公务用车购置数0辆，公务用车保有量1辆。国有资产占用情况中固定资产车辆0辆，与公务用车保有量差异原因是：借用其他单位车辆，车辆费用由本单位支付。</w:t>
      </w:r>
    </w:p>
    <w:p>
      <w:pPr>
        <w:spacing w:line="580" w:lineRule="exact"/>
        <w:ind w:firstLine="640"/>
        <w:jc w:val="both"/>
      </w:pPr>
      <w:r>
        <w:rPr>
          <w:rFonts w:ascii="仿宋_GB2312" w:hAnsi="仿宋_GB2312" w:eastAsia="仿宋_GB2312"/>
          <w:b w:val="0"/>
          <w:sz w:val="32"/>
        </w:rPr>
        <w:t>公务接待费0.20万元，开支内容包括接待全总省部级领导产生的就餐费。单位全年安排的国内公务接待3批次，40人次。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6.70万元，决算数6.70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6.50万元，决算数6.50万元，预决算差异率0.00%，主要原因是：严格按照预算执行，预决算无差异。公务接待费全年预算数0.20万元，决算数0.20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2024年度昌吉回族自治州总工会（行政单位和参照公务员法管理事业单位）机关运行经费支出32.78万元，比上年减少3.53万元，下降9.72%，主要原因是：本年减少人员减少，导致公用经费减少。</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2024年度政府采购支出总额190.91万元，其中：政府采购货物支出3.41万元、政府采购工程支出0.00万元、政府采购服务支出187.50万元。</w:t>
      </w:r>
    </w:p>
    <w:p>
      <w:pPr>
        <w:spacing w:line="580" w:lineRule="exact"/>
        <w:ind w:firstLine="640"/>
        <w:jc w:val="both"/>
      </w:pPr>
      <w:r>
        <w:rPr>
          <w:rFonts w:ascii="仿宋_GB2312" w:hAnsi="仿宋_GB2312" w:eastAsia="仿宋_GB2312"/>
          <w:b w:val="0"/>
          <w:sz w:val="32"/>
        </w:rPr>
        <w:t>授予中小企业合同金额190.91万元，占政府采购支出总额的100.00%，其中：授予小微企业合同金额0.60万元，占政府采购支出总额的0.31%。</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704.11万元，实际执行总额704.11万元；预算绩效评价项目4个，全年预算数322.10万元，全年执行数322.10万元。预算绩效管理取得的成效：一是我单位宣传贯彻执行党的路线、方针、政策；贯彻落实上级党组织的决议、指示，坚持新发展理念，团结动员广大职工建工新时代，深入开展好劳动和技能竞赛、技能比武、技能练兵活动，组织职工群众在经济建设主战场创新创业创优。大力弘扬劳模精神、劳动精神、工匠精神，引导产业工人勤于钻研技术、炼就过硬本领，努力打造知识型、技能型、创新型劳动者大军。二是做实劳模评选服务，在全社会营造尊重劳动、尊重劳动者的良好氛围；维护职工合法权益，精准“四季”帮扶，深化普惠服务，持续推进工会改革，扎实做好互联网+工会工作，规范“职工之家”阵地建设，开展职工书屋建设。发现的问题及原因：一是相关工作人员经验不足，绩效管理意识不高，对于档案管理还不够完善。加强了责任到人的管理意识，使项目实施的每一个环节都有人分管负责，从而对项目的推进进行了很好的监督，建议今后能在资金拨付后，分阶梯按时完成重点任务，依法、有序、规范的组织开展项目推进工作，从而达到按时完成项目目标的目的。健全财政绩效评价指标体系，加强工作人员的业务培训和财政绩效管理信息化建设，加大绩效评价结果的运用。二是年初虽然制定细化了指标，但是在实际实施过程中，有些指标未能严格按照目标完成，在下年度的实施中需注意指标完成进度。下一步改进措施：1.高度重视财政预决算工作，加强预算的约束力。2. 加大绩效工作宣传力度，强化绩效理念，强化业务人员整体素质。3.加强对绩效的管理培训工作，设置目标时考虑目标的可实现，尽量做到目标的细化量化、明确清晰。4.完善绩效指标，提高整体绩效目标质量。提升预算精细化管理水平。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昌吉回族自治州总工会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610.12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704.11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704.11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610.12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704.11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704.11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昌吉州总工会工会主要承担着参与、维护、建设、教育四大职能，其中维护职工合法权益是基本职能， 以习近平新时代中国特色社会主义思想为指导，深入学习贯彻落实党的二十大精神，贯彻落实习近平总书记关于工人阶级和工会工作的重要论述。精准“四季”帮扶，建立健全州、县市、乡镇街道工会三级服务体系，心系职工冷暖，进一步加大春送岗位、夏送清凉、金秋助学、冬送温暖活动，深化普惠服务，结合普法宣传、农民工服务、劳模（工匠）精神，提升广大职工创新创造活力，着力开展“我为群众办实事”实践活动。2023年整体支出绩效目标1：树立新发展理念，强化服务职工的使命担当，不断加大服务职工力度，推动实现职工体面劳动、舒心工作、全面发展。目标2：维护职工合法权益。</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704.11万元，全年执行数为704.11万元，总预算执行率为100.00%。2024年我单位完成以下以下工作内容：1.培育昌吉州工人队伍建设改革最佳实践单位15家，2、慰问州级劳模756人，覆盖率达到100%，3、开展送温暖、送清凉活动5次，4、慰问困难职工100人次。通过以上工作的实施，大力弘扬劳模精神、劳动精神、工匠精神，引导产业工人勤于钻研技术、炼就过硬本领，努力打造知识型、技能型、创新型劳动者大军。做实劳模评选服务，在全社会营造尊重劳动、尊重劳动者的良好氛围；维护职工合法权益，精准“四季”帮扶，深化普惠服务，持续推进工会改革，扎实做好互联网+工会工作，规范“职工之家”阵地建设，开展职工书屋建设。</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培育昌吉州工人队伍建设改革最佳实践单位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2024年州总工会第一季度绩效指标表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劳模慰问人数（人)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=756人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州总工会2024年工作要点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=756人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送温暖活动、送清凉活动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州总工会2024年工作要点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慰问困难职工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州总工会2024年工作要点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劳模补助覆盖率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=100百分比</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2024年州总工会第一季度绩效指标表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公务用车租赁费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昌吉回族自治州总工会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昌吉回族自治州总工会本级</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2023年租用新能源车一辆，租用期5年，每年租金3.5万元，通过租车保障单位业务正常开展，减少临时租车次数，降低开支，实现节能减排。</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了数量指标租赁公务用车目标值1辆，完成率100%；成本指标：公务用车运行维护费目标值3.5万元，完成率100%；项目预算控制率100%，通过该项目实施，提升了工作效率，减少了支出，促进了节能减排，减少了碳排放，符合国家碳中和政策。</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租用公务用车数量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政府采购率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车辆租赁费支付时限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2023年8月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公务用车运行维护费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项目预算控制率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保障单位业务正常开展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劳模慰问奖励金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昌吉回族自治州总工会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昌吉回族自治州总工会本级</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全州现有自治州劳动模范（先进工作者）、开发建设新疆奖章获得者共计756人，人均1000元，预计在2024年12月底一次性发放完成。为了在社会上长期营造争当劳模、尊重劳模的良好氛围，从而使劳模生活得到一定改善,提高生活质量和生活水平。</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数量指标的补助人数756人，完成值100%，1次性发放完毕，完成值是100%，经济成本指标：人均补助标准是1000元/人，完成值是100%；通过该项目的实施，提升了劳模的社会地位、荣誉感和获得感。促进了党和政府及工会组织对劳模的关心和关怀，进一步弘扬了劳模精神、劳动精神和工匠精神。</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补助人数（人）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=756人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=756人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741万元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发放补助次数(次)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补助金发放时限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11月30日之前发放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按时发放完成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人均补助标准（元/人）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补助资金数（万元）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=75.60万元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74.1万元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补助劳模生活改善情况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得到改善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得到改善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长期营造争当劳模、尊重劳模的良好氛围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长期影响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长期影响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受益劳模满意度（%）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年初设置目标为95%，实际调查结果不存在不满意的情况，满意度为100%。</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庭州工匠育才专项行动</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昌吉州回族自治州总工会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昌吉回族自治州总工会本级</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2024年“庭州英才”人才计划，1.抓住培育关键，提高工匠人才综合素质，2.强化硬件改造，优化工匠人才成长环境，3.落实培育制度，打造工匠人才成长平台。</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了补助庭州工匠人数21人，完成率100%。完成培育技能人才数数6人；补助发放完成率100%，补助发放覆盖率100%；人才计划项目工作经费21万元、生活补贴42万元全部发放完毕。通过该项目的实施，提升了工匠人才的自身素质，促进了企业高质量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补助庭州工匠人数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完成培养技能人才数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补助发放完成率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补助发放覆盖率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人才计划项目工作经费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人才计划项目生活补贴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搭建优质平台培育优秀人才骨干</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长期培育</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营造尊才重才的浓厚气氛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长期营造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昌吉州市工人文化宫建设项目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昌吉州回族自治州总工会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昌吉回族自治州总工会本级</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根据项目确定的建设目标、建设内容、建设规模、建设进度组织实施，完成项目前期工作，推进重点项目建设，促进经济持续健康发展。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了数量指标可研报告、初步设计、实施方案，目标值1批，完成率100%。成本指标项目前期成本设计费和项目实施设计费180万元，完成率100%。通过该项目的实施，提升了工人的职业技能、文化素养、通过体育活动和健康讲座改善身心健康、为工人提供交流平台昌吉人际互动，增强社会荣辱感、举办传统文化活动，推动文化传承与创新。促进了社会和谐与文化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完成可研报告、初步设计、实施方案等</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专家验收合格率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投资计划分解（转发）用时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&lt;=10工作日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=10工作日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项目前期初步设计费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项目实施设计费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推进重点项目建设，研究成果为经济社会发展提供决策参考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作用明显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各项目实施单位满意度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