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昌吉回族自治州住房公积金管理中心2024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1、编制、执行住房公积金的归集、使用计划。</w:t>
      </w:r>
    </w:p>
    <w:p>
      <w:pPr>
        <w:spacing w:line="580" w:lineRule="exact"/>
        <w:ind w:firstLine="640"/>
        <w:jc w:val="both"/>
      </w:pPr>
      <w:r>
        <w:rPr>
          <w:rFonts w:ascii="仿宋_GB2312" w:hAnsi="仿宋_GB2312" w:eastAsia="仿宋_GB2312"/>
          <w:sz w:val="32"/>
        </w:rPr>
        <w:t>2、负责记载职工住房公积金的缴存、提取、使用等情况。</w:t>
      </w:r>
    </w:p>
    <w:p>
      <w:pPr>
        <w:spacing w:line="580" w:lineRule="exact"/>
        <w:ind w:firstLine="640"/>
        <w:jc w:val="both"/>
      </w:pPr>
      <w:r>
        <w:rPr>
          <w:rFonts w:ascii="仿宋_GB2312" w:hAnsi="仿宋_GB2312" w:eastAsia="仿宋_GB2312"/>
          <w:sz w:val="32"/>
        </w:rPr>
        <w:t>3、负责住房公积金的核算。</w:t>
      </w:r>
    </w:p>
    <w:p>
      <w:pPr>
        <w:spacing w:line="580" w:lineRule="exact"/>
        <w:ind w:firstLine="640"/>
        <w:jc w:val="both"/>
      </w:pPr>
      <w:r>
        <w:rPr>
          <w:rFonts w:ascii="仿宋_GB2312" w:hAnsi="仿宋_GB2312" w:eastAsia="仿宋_GB2312"/>
          <w:sz w:val="32"/>
        </w:rPr>
        <w:t>4、审批住房公积金的提取、使用。</w:t>
      </w:r>
    </w:p>
    <w:p>
      <w:pPr>
        <w:spacing w:line="580" w:lineRule="exact"/>
        <w:ind w:firstLine="640"/>
        <w:jc w:val="both"/>
      </w:pPr>
      <w:r>
        <w:rPr>
          <w:rFonts w:ascii="仿宋_GB2312" w:hAnsi="仿宋_GB2312" w:eastAsia="仿宋_GB2312"/>
          <w:sz w:val="32"/>
        </w:rPr>
        <w:t>5、负责住房公积金的保值和归还。</w:t>
      </w:r>
    </w:p>
    <w:p>
      <w:pPr>
        <w:spacing w:line="580" w:lineRule="exact"/>
        <w:ind w:firstLine="640"/>
        <w:jc w:val="both"/>
      </w:pPr>
      <w:r>
        <w:rPr>
          <w:rFonts w:ascii="仿宋_GB2312" w:hAnsi="仿宋_GB2312" w:eastAsia="仿宋_GB2312"/>
          <w:sz w:val="32"/>
        </w:rPr>
        <w:t>6、编制住房公积金归集、使用计划执行情况的报告。</w:t>
      </w:r>
    </w:p>
    <w:p>
      <w:pPr>
        <w:spacing w:line="580" w:lineRule="exact"/>
        <w:ind w:firstLine="640"/>
        <w:jc w:val="both"/>
      </w:pPr>
      <w:r>
        <w:rPr>
          <w:rFonts w:ascii="仿宋_GB2312" w:hAnsi="仿宋_GB2312" w:eastAsia="仿宋_GB2312"/>
          <w:sz w:val="32"/>
        </w:rPr>
        <w:t>7、承办住房公积金管理委员会会决定的其他事项。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昌吉回族自治州住房公积金管理中心2024年度，实有人数96人，其中：在职人员70人，减少5人；离休人员0人，增加0人；退休人员26人,增加6人。</w:t>
      </w:r>
    </w:p>
    <w:p>
      <w:pPr>
        <w:spacing w:line="580" w:lineRule="exact"/>
        <w:ind w:firstLine="640"/>
        <w:jc w:val="both"/>
      </w:pPr>
      <w:r>
        <w:rPr>
          <w:rFonts w:ascii="仿宋_GB2312" w:hAnsi="仿宋_GB2312" w:eastAsia="仿宋_GB2312"/>
          <w:sz w:val="32"/>
        </w:rPr>
        <w:t>昌吉回族自治州住房公积金管理中心无下属预算单位，下设14个科室，分别是：木垒管理部、奇台管理部、吉木萨尔管理部、准东管理部、阜康管理部、昌吉管理部、呼图壁管理部、玛纳斯管理部、组织人事科、审计稽核科、综合业务科、资金核算科、政策法规科、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2024年度收入总计3,308.36万元，</w:t>
      </w:r>
      <w:r>
        <w:rPr>
          <w:rFonts w:ascii="仿宋_GB2312" w:hAnsi="仿宋_GB2312" w:eastAsia="仿宋_GB2312"/>
          <w:b w:val="0"/>
          <w:sz w:val="32"/>
        </w:rPr>
        <w:t>其中：本年收入合计3,308.36万元，使用非财政拨款结余（含专用结余）0.00万元，年初结转和结余0.00万元。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2024年度支出总计3,308.36万元，</w:t>
      </w:r>
      <w:r>
        <w:rPr>
          <w:rFonts w:ascii="仿宋_GB2312" w:hAnsi="仿宋_GB2312" w:eastAsia="仿宋_GB2312"/>
          <w:b w:val="0"/>
          <w:sz w:val="32"/>
        </w:rPr>
        <w:t>其中：本年支出合计3,308.36万元，结余分配0.00万元，年末结转和结余0.00万元。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增加272.32万元，增长8.97%，主要原因是：本年在职人员工资调增，相关人员经费增加；增加单位信息网络服务费用、住房公积金管理服务、住房公积金管理服务资金。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本年收入3,308.36万元，</w:t>
      </w:r>
      <w:r>
        <w:rPr>
          <w:rFonts w:ascii="仿宋_GB2312" w:hAnsi="仿宋_GB2312" w:eastAsia="仿宋_GB2312"/>
          <w:b w:val="0"/>
          <w:sz w:val="32"/>
        </w:rPr>
        <w:t>其中：财政拨款收入3,308.36万元，占100.00%；上级补助收入0.00万元，占0.00%；事业收入0.00万元，占0.00%；经营收入0.00万元，占0.00%；附属单位上缴收入0.00万元，占0.00%；其他收入0.00万元，占0.00%。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本年支出3,308.36万元，</w:t>
      </w:r>
      <w:r>
        <w:rPr>
          <w:rFonts w:ascii="仿宋_GB2312" w:hAnsi="仿宋_GB2312" w:eastAsia="仿宋_GB2312"/>
          <w:b w:val="0"/>
          <w:sz w:val="32"/>
        </w:rPr>
        <w:t>其中：基本支出2,490.21万元，占75.27%；项目支出818.15万元，占24.73%；上缴上级支出0.00万元，占0.00%；经营支出0.00万元，占0.00%；对附属单位补助支出0.00万元，占0.00%。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2024年度财政拨款收入总计3,308.36万元，</w:t>
      </w:r>
      <w:r>
        <w:rPr>
          <w:rFonts w:ascii="仿宋_GB2312" w:hAnsi="仿宋_GB2312" w:eastAsia="仿宋_GB2312"/>
          <w:b w:val="0"/>
          <w:sz w:val="32"/>
        </w:rPr>
        <w:t>其中：年初财政拨款结转和结余0.00万元，本年财政拨款收入3,308.36万元。</w:t>
      </w:r>
      <w:r>
        <w:rPr>
          <w:rFonts w:ascii="仿宋_GB2312" w:hAnsi="仿宋_GB2312" w:eastAsia="仿宋_GB2312"/>
          <w:b/>
          <w:sz w:val="32"/>
        </w:rPr>
        <w:t>财政拨款支出总计3,308.36万元，</w:t>
      </w:r>
      <w:r>
        <w:rPr>
          <w:rFonts w:ascii="仿宋_GB2312" w:hAnsi="仿宋_GB2312" w:eastAsia="仿宋_GB2312"/>
          <w:b w:val="0"/>
          <w:sz w:val="32"/>
        </w:rPr>
        <w:t>其中：年末财政拨款结转和结余0.00万元，本年财政拨款支出3,308.36万元。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增加272.32万元，增长8.97%，主要原因是：本年在职人员工资调增，相关人员经费增加；增加单位信息网络服务费用、住房公积金管理服务、住房公积金管理服务资金。</w:t>
      </w:r>
      <w:r>
        <w:rPr>
          <w:rFonts w:ascii="仿宋_GB2312" w:hAnsi="仿宋_GB2312" w:eastAsia="仿宋_GB2312"/>
          <w:b/>
          <w:sz w:val="32"/>
        </w:rPr>
        <w:t>与年初预算相比，</w:t>
      </w:r>
      <w:r>
        <w:rPr>
          <w:rFonts w:ascii="仿宋_GB2312" w:hAnsi="仿宋_GB2312" w:eastAsia="仿宋_GB2312"/>
          <w:b w:val="0"/>
          <w:sz w:val="32"/>
        </w:rPr>
        <w:t>年初预算数3,459.79万元，决算数3,308.36万元，预决算差异率-4.38%，主要原因是：本年在职人员减少，年中调减人员经费，导致预决算存在差异。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2024年度一般公共预算财政拨款支出3,308.36万元，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增加272.32万元，增长8.97%，主要原因是：本年在职人员工资调增，相关人员经费增加；增加单位信息网络服务费用、住房公积金管理服务、住房公积金管理服务资金。</w:t>
      </w:r>
      <w:r>
        <w:rPr>
          <w:rFonts w:ascii="仿宋_GB2312" w:hAnsi="仿宋_GB2312" w:eastAsia="仿宋_GB2312"/>
          <w:b/>
          <w:sz w:val="32"/>
        </w:rPr>
        <w:t>与年初预算相比,</w:t>
      </w:r>
      <w:r>
        <w:rPr>
          <w:rFonts w:ascii="仿宋_GB2312" w:hAnsi="仿宋_GB2312" w:eastAsia="仿宋_GB2312"/>
          <w:b w:val="0"/>
          <w:sz w:val="32"/>
        </w:rPr>
        <w:t>年初预算数3,459.79万元，决算数3,308.36万元，预决算差异率-4.38%，主要原因是：本年在职人员减少，年中调减人员经费，导致预决算存在差异。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1.社会保障和就业支出(类)215.39万元,占6.51%。</w:t>
      </w:r>
    </w:p>
    <w:p>
      <w:pPr>
        <w:spacing w:line="580" w:lineRule="exact"/>
        <w:ind w:firstLine="640"/>
        <w:jc w:val="both"/>
      </w:pPr>
      <w:r>
        <w:rPr>
          <w:rFonts w:ascii="仿宋_GB2312" w:hAnsi="仿宋_GB2312" w:eastAsia="仿宋_GB2312"/>
          <w:b w:val="0"/>
          <w:sz w:val="32"/>
        </w:rPr>
        <w:t>2.卫生健康支出(类)72.27万元,占2.18%。</w:t>
      </w:r>
    </w:p>
    <w:p>
      <w:pPr>
        <w:spacing w:line="580" w:lineRule="exact"/>
        <w:ind w:firstLine="640"/>
        <w:jc w:val="both"/>
      </w:pPr>
      <w:r>
        <w:rPr>
          <w:rFonts w:ascii="仿宋_GB2312" w:hAnsi="仿宋_GB2312" w:eastAsia="仿宋_GB2312"/>
          <w:b w:val="0"/>
          <w:sz w:val="32"/>
        </w:rPr>
        <w:t>3.住房保障支出(类)2,999.85万元,占90.67%。</w:t>
      </w:r>
    </w:p>
    <w:p>
      <w:pPr>
        <w:spacing w:line="580" w:lineRule="exact"/>
        <w:ind w:firstLine="640"/>
        <w:jc w:val="both"/>
      </w:pPr>
      <w:r>
        <w:rPr>
          <w:rFonts w:ascii="仿宋_GB2312" w:hAnsi="仿宋_GB2312" w:eastAsia="仿宋_GB2312"/>
          <w:b w:val="0"/>
          <w:sz w:val="32"/>
        </w:rPr>
        <w:t>4.其他支出(类)20.84万元,占0.63%。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1.社会保障和就业支出(类)行政事业单位养老支出(款)事业单位离退休(项):支出决算数为12.68万元，比上年决算增加5.20万元，增长69.52%,主要原因是：本年退休人员增加，退休费支出增加。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135.14万元，比上年决算增加10.27万元，增长8.22%,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3.社会保障和就业支出(类)行政事业单位养老支出(款)机关事业单位职业年金缴费支出(项):支出决算数为67.57万元，比上年决算增加5.14万元，增长8.23%,主要原因是：本年新增退休人员，职业年金缴费支出增加。</w:t>
      </w:r>
    </w:p>
    <w:p>
      <w:pPr>
        <w:spacing w:line="580" w:lineRule="exact"/>
        <w:ind w:firstLine="640"/>
        <w:jc w:val="both"/>
      </w:pPr>
      <w:r>
        <w:rPr>
          <w:rFonts w:ascii="仿宋_GB2312" w:hAnsi="仿宋_GB2312" w:eastAsia="仿宋_GB2312"/>
          <w:b w:val="0"/>
          <w:sz w:val="32"/>
        </w:rPr>
        <w:t>4.社会保障和就业支出(类)抚恤(款)死亡抚恤(项):支出决算数为0.00万元，比上年决算减少5.45万元，下降100.00%,主要原因是：本年无死亡人员，无死亡抚恤支出。</w:t>
      </w:r>
    </w:p>
    <w:p>
      <w:pPr>
        <w:spacing w:line="580" w:lineRule="exact"/>
        <w:ind w:firstLine="640"/>
        <w:jc w:val="both"/>
      </w:pPr>
      <w:r>
        <w:rPr>
          <w:rFonts w:ascii="仿宋_GB2312" w:hAnsi="仿宋_GB2312" w:eastAsia="仿宋_GB2312"/>
          <w:b w:val="0"/>
          <w:sz w:val="32"/>
        </w:rPr>
        <w:t>5.卫生健康支出(类)行政事业单位医疗(款)事业单位医疗(项):支出决算数为67.57万元，比上年决算增加5.14万元，增长8.23%,主要原因是：本年在职人员工资基数调增，医疗缴费基数上涨，相应支出增加。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6.卫生健康支出(类)行政事业单位医疗(款)公务员医疗补助(项):支出决算数为4.22万元，比上年决算增加0.32万元，增长8.21%,主要原因是：本年在职人员工资基数调增，医疗缴费基数上涨，相应支出增加。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7.卫生健康支出(类)行政事业单位医疗(款)其他行政事业单位医疗支出(项):支出决算数为0.48万元，比上年决算减少0.07万元，下降12.73%,主要原因是：本年在职人员减少，其他行政事业单位医疗支出较上年减少。</w:t>
      </w:r>
    </w:p>
    <w:p>
      <w:pPr>
        <w:spacing w:line="580" w:lineRule="exact"/>
        <w:ind w:firstLine="640"/>
        <w:jc w:val="both"/>
      </w:pPr>
      <w:r>
        <w:rPr>
          <w:rFonts w:ascii="仿宋_GB2312" w:hAnsi="仿宋_GB2312" w:eastAsia="仿宋_GB2312"/>
          <w:b w:val="0"/>
          <w:sz w:val="32"/>
        </w:rPr>
        <w:t>8.住房保障支出(类)住房改革支出(款)住房公积金(项):支出决算数为108.72万元，比上年决算增加10.23万元，增长10.39%,主要原因是：本年在职人员工资基数调增，公积金缴费基数上涨，相应支出增加。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9.住房保障支出(类)城乡社区住宅(款)住房公积金管理(项):支出决算数为2,891.14万元，比上年决算增加242.52万元，增长9.16%,主要原因是：本年在职人员工资调增，相关人员经费增加；增加单位信息网络服务费用、住房公积金管理服务、住房公积金管理服务资金。</w:t>
      </w:r>
    </w:p>
    <w:p>
      <w:pPr>
        <w:spacing w:line="580" w:lineRule="exact"/>
        <w:ind w:firstLine="640"/>
        <w:jc w:val="both"/>
      </w:pPr>
      <w:r>
        <w:rPr>
          <w:rFonts w:ascii="仿宋_GB2312" w:hAnsi="仿宋_GB2312" w:eastAsia="仿宋_GB2312"/>
          <w:b w:val="0"/>
          <w:sz w:val="32"/>
        </w:rPr>
        <w:t>10.其他支出(类)其他支出(款)其他支出(项):支出决算数为20.84万元，比上年决算减少0.99万元，下降4.54%,主要原因是：本年减少为民办实事业务经费。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2024年度一般公共预算财政拨款基本支出2,490.21万元，其中：</w:t>
      </w:r>
      <w:r>
        <w:rPr>
          <w:rFonts w:ascii="仿宋_GB2312" w:hAnsi="仿宋_GB2312" w:eastAsia="仿宋_GB2312"/>
          <w:b/>
          <w:sz w:val="32"/>
        </w:rPr>
        <w:t>人员经费2,387.53万元，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公用经费102.68万元，</w:t>
      </w:r>
      <w:r>
        <w:rPr>
          <w:rFonts w:ascii="仿宋_GB2312" w:hAnsi="仿宋_GB2312" w:eastAsia="仿宋_GB2312"/>
          <w:b w:val="0"/>
          <w:sz w:val="32"/>
        </w:rPr>
        <w:t>包括：办公费、水费、电费、邮电费、取暖费、物业管理费、公务接待费、劳务费、工会经费、福利费、公务用车运行维护费、其他交通费用、其他商品和服务支出。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2024年度财政拨款“三公”经费支出20.79万元，</w:t>
      </w:r>
      <w:r>
        <w:rPr>
          <w:rFonts w:ascii="仿宋_GB2312" w:hAnsi="仿宋_GB2312" w:eastAsia="仿宋_GB2312"/>
          <w:b w:val="0"/>
          <w:sz w:val="32"/>
        </w:rPr>
        <w:t>比上年减少0.05万元，下降0.24%，主要原因是：严格落实中央八项规定精神，厉行节约，减少公务接待费。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公务用车购置及运行维护费支出20.75万元，占99.81%，比上年增加0.00万元，增长0.00%，主要原因是：我单位公务用车运行维护费与上年一致无变化。</w:t>
      </w:r>
      <w:r>
        <w:rPr>
          <w:rFonts w:ascii="仿宋_GB2312" w:hAnsi="仿宋_GB2312" w:eastAsia="仿宋_GB2312"/>
          <w:b w:val="0"/>
          <w:sz w:val="32"/>
        </w:rPr>
        <w:t>公务接待费支出0.05万元，占0.24%，比上年减少0.05万元，下降50.00%，主要原因是：严格落实中央八项规定精神，厉行节约，减少公务接待费。</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20.75万元，其中：公务用车购置费0.00万元，公务用车运行维护费20.75万元。公务用车运行维护费开支内容包括公务用车燃油费、维修维护费、保险费、过路费、新能源车电费。公务用车购置数0辆，公务用车保有量6辆。国有资产占用情况中固定资产车辆6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公务接待费0.05万元，开支内容包括接待公积金行业系统交流学习人员产生的就餐费。单位全年安排的国内公务接待1批次，4人次。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20.79万元，决算数20.79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20.75万元，决算数20.75万元，预决算差异率0.00%，主要原因是：严格按照预算执行，预决算无差异。公务接待费全年预算数0.05万元，决算数0.05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2024年度昌吉回族自治州住房公积金管理中心（事业单位）公用经费支出102.68万元，比上年增加36.76万元，增长55.76%，主要原因是：本年增加住房公积金贷款合同公证费、法律服务费。</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2024年度政府采购支出总额234.61万元，其中：政府采购货物支出69.35万元、政府采购工程支出20.41万元、政府采购服务支出144.85万元。</w:t>
      </w:r>
    </w:p>
    <w:p>
      <w:pPr>
        <w:spacing w:line="580" w:lineRule="exact"/>
        <w:ind w:firstLine="640"/>
        <w:jc w:val="both"/>
      </w:pPr>
      <w:r>
        <w:rPr>
          <w:rFonts w:ascii="仿宋_GB2312" w:hAnsi="仿宋_GB2312" w:eastAsia="仿宋_GB2312"/>
          <w:b w:val="0"/>
          <w:sz w:val="32"/>
        </w:rPr>
        <w:t>授予中小企业合同金额234.61万元，占政府采购支出总额的100.00%，其中：授予小微企业合同金额234.61万元，占政府采购支出总额的100.00%。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12,384.59平方米，价值4,171.24万元。车辆6辆，价值119.69万元，其中：副部（省）级及以上领导用车0辆、主要负责人用车0辆、机要通信用车0辆、应急保障用车0辆、执法执勤用车0辆、特种专业技术用车0辆、离退休干部服务用车0辆、其他用车6辆，其他用车主要是：单位业务用车。单价100万元（含）以上设备（不含车辆）3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3,308.35万元，实际执行总额3,308.35万元；预算绩效评价项目2个，全年预算数876.78万元，全年执行数808.15万元。预算绩效管理取得的成效：根据预算绩效管理要求，昌吉回族自治州住房公积金管理中心2024年度预算绩效管理形成整体支出绩效自评表1个，全年预算总额3,308.35万元，实际执行总额3,308.35万元；预算绩效评价项目3个，全年预算数818.15万元，全年执行数818.15万元。预算绩效管理取得的成效。（一）各项业务运行安全稳健。一是全年归集指标稳步增长。累计缴存住房公积金37.37亿元，同比增长8.48%，完成全年计划的102.10%，历年累计缴存总额358.96亿元，缴存余额123.17亿元；二是提取指标略有回落。累计为8.13万名缴存职工提取住房公积金30.08亿元，同比减少0.23%，完成全年计划的107.43%，提取总额235.79亿元，受加大租房提取力度促进租购并举政策的影响，累计租房提取3.01亿元，同比增长375.08%；三是贷款指标呈下降态势。受昌吉州住宅成交量下降的影响，累计发放个人住房贷款3469户、12.93亿元，分别同比下降31.20%、28.33%，完成全年计划的107.75%，贷款余额96.79亿元，个贷率为78.58%；四是增值收益稳步攀升。累计实现实现增值收益2.06亿元，同比增长13.81%。（二）强化宜居保障支持力。一是站位全局“谋发展”。围绕州党委、政府关于促进住房消费工作要求，研究制定《关于进一步支持刚性和改善性住房需求十条措施》，配套修订《昌吉州住房公积金归集、提取、贷款业务实施细则（试行）》，多次受到州党委、政府的充分肯定和表扬。二是扩大制度“覆盖面”。将准东工业园区、农高区、高新区非公企业人员作为主攻方向，推动归集扩面深入开展。2024年，累计净增缴存单位206户，净增职工0.58万人，正常缴存单位3771户，实缴职工18.73万人。三是扩大公积金提取范围。，放宽提取使用政策，加大租房提取力度，统筹安排资金使用，开通城镇老旧小区改造住房提取业务，推行“提贷并举”“一人购房全家帮”。四是资金稳健运行。不断压实风险管控责任、优化资金存储结构和配置方式，实现资金收益最大化，2024年实现增值收益2.06亿元，上缴城市公共租赁住房（廉租住房）建设补充资金1.7亿元。全力推动控逾工作常态化，逾期率始终控制在0.5‰以内。（三）推动优质服务新成效。一是提高公积金助企惠民力度。聚焦“防风险、稳市场、转模式”，下调保障性住房贷款首付款比例为15%；停止向房地产开发企业收取贷款保证金，减轻房企资金压力，安排1亿元新增定期存款，提高受托银行融资措施落实积极性和主动性。二是提升服务硬实力，做优营商软环境。深化“放管服”改革，依托全国住房公积金监管服务平台和全国住房公积金小程序，实现13个住房公积金高频服务事项“跨省通办”、住房公积金个人证明事项“亮码可办”、42项高频服务事项全程网办。三是推进不断数字化建设，持续深化数据赋能。大力推进“智慧公积金”建设，目前共有35项业务可网上办理，开通单位网厅4412个，占缴存单位的95.77%，综合业务离柜率始终保持在80%以上，手机公积金APP用户总数22.14万人，注册率97.41%。发现的问题及原因：一是绩效设置精细化程度有待完善。由于房地产市场受经济环境、城镇化速度、楼盘质量等多重因素影响，因此在三级指标设置上不仅需要分析测算历史住房公积金贷款发放量，还需具备前瞻性、动态性思维，进一步提升绩效指标的明确性、准确度；二是运用大数据分析能力还需提升。预算执行过程中运用大数据进行分析和统计的能力还需进一步完善，预算编制管理水平仍有进一步提升的空间。下一步改进措施：一是高度重视财政预决算工作，加大绩效工作宣传力度，加强预算的约束力；二是强化绩效理念，强化业务人员整体素质；三是加强对绩效的管理培训工作，设置目标时考虑目标的可实现，尽量做到目标的细化量化、明确清晰。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昌吉回族自治州住房公积金管理中心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3,459.79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3,308.35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3,308.35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3,459.79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3,308.35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3,308.35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中心坚持以习近平新时代中国特色社会主义思想为指导，坚持“住有所居，房住不炒、租购并举”定位，坚持住房公积金的初心，持续深化“放管服”改革，围绕群众“急难愁盼”调整优化住房公积金政策，提升数据质量，推动数字化发展，全面畅通各类在线服务渠道，让缴存单位和职工真正实现随时办、指尖办；持续推进强管理、优服务、防风险、提质效，不断推动各项工作圆满完成。</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3308.35万元，全年执行数为3308.35万元，总预算执行率为100%。2024年我单位主要完成以下工作：1.坚持以党建引领促发展，夯实公积金事业根基。2.坚持围绕主责主业，各项业务运行安全稳健。3.坚持践行为民惠民宗旨，强化宜居保障支持力。4聚集提升效能，推动优质服务新成效。通过以上工作的实施，归集住房公积金37.37亿元，为8.13万名缴存职工提取住房公积金30.08亿元，累计发放个人住房贷款3469户、12.93亿元，助力我州房地产平键稳健发展。</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住房公积金归集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&gt;=36.6亿元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昌吉州住房公积金管理中心2024年重点工作计划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37.37亿元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住房公积金贷款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&lt;=18.27亿元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昌吉州住房公积金管理中心2024年重点工作计划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12.93亿元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住房公积金贷款逾期率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建金管【2005】123号建设部、财政部关于印发《住房公积金管理中心业务管理工作考核办法（试行）的通知》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0.31‰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住房公积金增值收益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&gt;=1.65亿元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昌吉州住房公积金管理中心2023年度增值收益分配和管理费用财务决算及2024年度增值收益预算情况和管理费用财务预算的报告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2.06亿元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缴存职工满意度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建金【2016】14号《住房和城乡建设部关于印发住加快房公积金综合服务平台的通知》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住房公积金管理服务</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昌吉回族自治州住房公积金管理中心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昌吉回族自治州住房公积金管理中心本级</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534.78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486.91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7.76</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534.78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486.91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维护社会稳定，确保房地产市场健康稳定发展，坚持房子是用来住的。扩大住房公积金的覆盖面，2024年住房公积金项目坚持总目标为统领，提升公积金服务，实现数字化公积金管理，推进住房公积金事业高质量发展。该项目534.78万元，计划用于单位在编人员、聘用人员120人工作正常开展,更好地为广大缴存职工服务，印刷2次，宣传4批次，案件起诉数15个、工会经费及食堂补助12次，办公经费及律师费及时充足，积极落实逾期贷款催收措施，降低逾期率，防范风险，扩大住房公积金的覆盖面，保障职工合法权益实现。</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486.91万元，用于单位在编人员、聘用人员121人工作正常开展,完成印刷2次，宣传4批次，案件起诉数15个、工会经费及食堂补助12次，采购物资验收合格率为100%，个人住房公积金贷款逾期率为0.31‰，按时完成增值收益，2024年实现增值收益20612.05万元，服务缴存职工能力达到预期指标，办公经费及律师费及时充足，积极落实逾期贷款催收措施，降低逾期率，防范风险，扩大住房公积金的覆盖面，保障职工合法权益实现；通过该项目的实施，提升了公积金服务能力，实现数字化公积金管理，促进了住房公积金事业高质量发展，降低运行成本，防范风险，扩大了住房公积金的覆盖面，保障职工合法权益实现。</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宣传批次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起诉案件数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工会经费及食堂补助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采购物资验收合格率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采购货物验收均合格，完成率为100%/95%*100%=105.26%，偏差率-5.26%。</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个人住房公积金贷款逾期率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按时完成增值收益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运转经费数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&lt;=218.81万元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=177.13万元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信创替代费用及新成立准东管理部办公设备购置费用41.69万元，困手续未完成需要在次年3月底支付。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印刷及宣传费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&lt;=20.94万元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=20.94万元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律师顾问费案件代理费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&lt;=92.42万元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15.61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工会经费及食堂补助费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&lt;=81.58万元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=81.58万元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购买服务费用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&lt;=121.03万元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=114.85万元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因住房公积金数字化档案加工工作按合同支付，需要后期验收完工再支付尾款6.18万元。</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实现增值收益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&gt;=15000万元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=20612.05万元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服务缴存职工能力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缴存职工满意度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年度指标设置不够精准，造成偏差。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92.95分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信息化建设</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昌吉回族自治州住房公积金管理中心本级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昌吉回族自治州住房公积金管理中心本级</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321.24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321.24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年初制定的工作计划,有序开展信息化建设项目，通过对公积金业务系统、华为云平台及综合服务平台的运行维护及中心至各县24条线路的运行优化，保障中心业务、办公系统正常运行，稳步推进中心信息化建设工作，有效防范风险，努力实现“信息多跑路，群众少跑腿”工作目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了公积金业务系统、华为云平台及综合服务平台3个信息系统的运行维护及中心至各县28条线路的运行优化，系统故障率为0%。验收合格率100%，系统故障响应时间为1天，通过该项目的实施，保障中心业务、办公系统正常运行，推进了中心信息化建设工作，服务缴存职工能力提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信息系统维护数量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信息化线路数量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&lt;=26条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107.69%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系统故障率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系统故障响应时间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信息系统维护成本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&lt;=271.80万元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=271.8万元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=193.4万元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信息化线路成本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=34.76万元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服务缴存职工能力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缴存职工满意度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97.99分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