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昌吉回族自治州指挥中心2024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本单位主要职能SM不予公开。</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昌吉回族自治州指挥中心2024年度，实有人数18人，其中：在职人员18人，增加0人；离休人员0人，增加0人；退休人员0人,增加0人。</w:t>
      </w:r>
    </w:p>
    <w:p>
      <w:pPr>
        <w:spacing w:line="580" w:lineRule="exact"/>
        <w:ind w:firstLine="640"/>
        <w:jc w:val="both"/>
      </w:pPr>
      <w:r>
        <w:rPr>
          <w:rFonts w:ascii="仿宋_GB2312" w:hAnsi="仿宋_GB2312" w:eastAsia="仿宋_GB2312"/>
          <w:sz w:val="32"/>
        </w:rPr>
        <w:t>昌吉回族自治州指挥中心无下属预算单位，下设3个科室，分别是：应急协调科、信息联络科、运行维护科。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2024年度收入总计388.93万元，</w:t>
      </w:r>
      <w:r>
        <w:rPr>
          <w:rFonts w:ascii="仿宋_GB2312" w:hAnsi="仿宋_GB2312" w:eastAsia="仿宋_GB2312"/>
          <w:b w:val="0"/>
          <w:sz w:val="32"/>
        </w:rPr>
        <w:t>其中：本年收入合计385.37万元，使用非财政拨款结余（含专用结余）0.00万元，年初结转和结余3.56万元。</w:t>
      </w:r>
    </w:p>
    <w:p>
      <w:pPr>
        <w:spacing w:line="580" w:lineRule="exact"/>
        <w:ind w:firstLine="640"/>
        <w:jc w:val="both"/>
      </w:pPr>
      <w:r>
        <w:rPr>
          <w:rFonts w:ascii="仿宋_GB2312" w:hAnsi="仿宋_GB2312" w:eastAsia="仿宋_GB2312"/>
          <w:b/>
          <w:sz w:val="32"/>
        </w:rPr>
        <w:t>2024年度支出总计388.93万元，</w:t>
      </w:r>
      <w:r>
        <w:rPr>
          <w:rFonts w:ascii="仿宋_GB2312" w:hAnsi="仿宋_GB2312" w:eastAsia="仿宋_GB2312"/>
          <w:b w:val="0"/>
          <w:sz w:val="32"/>
        </w:rPr>
        <w:t>其中：本年支出合计385.37万元，结余分配0.00万元，年末结转和结余3.56万元。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减少66.56万元，下降14.61%，主要原因是：本年机关运行经费项目资金较上年减少。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本年收入385.37万元，</w:t>
      </w:r>
      <w:r>
        <w:rPr>
          <w:rFonts w:ascii="仿宋_GB2312" w:hAnsi="仿宋_GB2312" w:eastAsia="仿宋_GB2312"/>
          <w:b w:val="0"/>
          <w:sz w:val="32"/>
        </w:rPr>
        <w:t>其中：财政拨款收入385.37万元，占100.00%；上级补助收入0.00万元，占0.00%；事业收入0.00万元，占0.00%；经营收入0.00万元，占0.00%；附属单位上缴收入0.00万元，占0.00%；其他收入0.00万元，占0.00%。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本年支出385.37万元，</w:t>
      </w:r>
      <w:r>
        <w:rPr>
          <w:rFonts w:ascii="仿宋_GB2312" w:hAnsi="仿宋_GB2312" w:eastAsia="仿宋_GB2312"/>
          <w:b w:val="0"/>
          <w:sz w:val="32"/>
        </w:rPr>
        <w:t>其中：基本支出302.27万元，占78.44%；项目支出83.11万元，占21.57%；上缴上级支出0.00万元，占0.00%；经营支出0.00万元，占0.00%；对附属单位补助支出0.00万元，占0.00%。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2024年度财政拨款收入总计385.37万元，</w:t>
      </w:r>
      <w:r>
        <w:rPr>
          <w:rFonts w:ascii="仿宋_GB2312" w:hAnsi="仿宋_GB2312" w:eastAsia="仿宋_GB2312"/>
          <w:b w:val="0"/>
          <w:sz w:val="32"/>
        </w:rPr>
        <w:t>其中：年初财政拨款结转和结余0.00万元，本年财政拨款收入385.37万元。</w:t>
      </w:r>
      <w:r>
        <w:rPr>
          <w:rFonts w:ascii="仿宋_GB2312" w:hAnsi="仿宋_GB2312" w:eastAsia="仿宋_GB2312"/>
          <w:b/>
          <w:sz w:val="32"/>
        </w:rPr>
        <w:t>财政拨款支出总计385.37万元，</w:t>
      </w:r>
      <w:r>
        <w:rPr>
          <w:rFonts w:ascii="仿宋_GB2312" w:hAnsi="仿宋_GB2312" w:eastAsia="仿宋_GB2312"/>
          <w:b w:val="0"/>
          <w:sz w:val="32"/>
        </w:rPr>
        <w:t>其中：年末财政拨款结转和结余0.00万元，本年财政拨款支出385.37万元。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减少66.56万元，下降14.73%，主要原因是：本年机关运行项目资金较上年减少。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年初预算数390.08万元，决算数385.37万元，预决算差异率-1.21%，主要原因是：年中调减机关运行项目资金，导致预决算存在差异。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2024年度一般公共预算财政拨款支出385.37万元，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减少66.56万元，下降14.73%，主要原因是：本年机关运行项目资金较上年减少。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年初预算数390.08万元，决算数385.37万元，预决算差异率-1.21%，主要原因是：年中调减机关运行项目资金，导致预决算存在差异。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1.一般公共服务支出(类)305.26万元,占79.21%。</w:t>
      </w:r>
    </w:p>
    <w:p>
      <w:pPr>
        <w:spacing w:line="580" w:lineRule="exact"/>
        <w:ind w:firstLine="640"/>
        <w:jc w:val="both"/>
      </w:pPr>
      <w:r>
        <w:rPr>
          <w:rFonts w:ascii="仿宋_GB2312" w:hAnsi="仿宋_GB2312" w:eastAsia="仿宋_GB2312"/>
          <w:b w:val="0"/>
          <w:sz w:val="32"/>
        </w:rPr>
        <w:t>2.社会保障和就业支出(类)42.69万元,占11.08%。</w:t>
      </w:r>
    </w:p>
    <w:p>
      <w:pPr>
        <w:spacing w:line="580" w:lineRule="exact"/>
        <w:ind w:firstLine="640"/>
        <w:jc w:val="both"/>
      </w:pPr>
      <w:r>
        <w:rPr>
          <w:rFonts w:ascii="仿宋_GB2312" w:hAnsi="仿宋_GB2312" w:eastAsia="仿宋_GB2312"/>
          <w:b w:val="0"/>
          <w:sz w:val="32"/>
        </w:rPr>
        <w:t>3.卫生健康支出(类)15.28万元,占3.97%。</w:t>
      </w:r>
    </w:p>
    <w:p>
      <w:pPr>
        <w:spacing w:line="580" w:lineRule="exact"/>
        <w:ind w:firstLine="640"/>
        <w:jc w:val="both"/>
      </w:pPr>
      <w:r>
        <w:rPr>
          <w:rFonts w:ascii="仿宋_GB2312" w:hAnsi="仿宋_GB2312" w:eastAsia="仿宋_GB2312"/>
          <w:b w:val="0"/>
          <w:sz w:val="32"/>
        </w:rPr>
        <w:t>4.住房保障支出(类)22.14万元,占5.75%。</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1.一般公共服务支出(类)其他共产党事务支出(款)一般行政管理事务(项):支出决算数为83.11万元，比上年决算减少72.73万元，下降46.67%,主要原因是：本年机关运行项目资金较上年减少。</w:t>
      </w:r>
    </w:p>
    <w:p>
      <w:pPr>
        <w:spacing w:line="580" w:lineRule="exact"/>
        <w:ind w:firstLine="640"/>
        <w:jc w:val="both"/>
      </w:pPr>
      <w:r>
        <w:rPr>
          <w:rFonts w:ascii="仿宋_GB2312" w:hAnsi="仿宋_GB2312" w:eastAsia="仿宋_GB2312"/>
          <w:b w:val="0"/>
          <w:sz w:val="32"/>
        </w:rPr>
        <w:t>2.一般公共服务支出(类)其他共产党事务支出(款)事业运行(项):支出决算数为222.16万元，比上年决算减少5.69万元，下降2.50%,主要原因是：本年办公费、委托业务费、印刷费支出减少。</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28.54万元，比上年决算增加6.19万元，增长27.70%,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14.15万元，比上年决算增加1.28万元，增长9.95%,主要原因是：本年在职人员工资基数调增，职业年金缴费基数上涨，相应支出增加。</w:t>
      </w:r>
    </w:p>
    <w:p>
      <w:pPr>
        <w:spacing w:line="580" w:lineRule="exact"/>
        <w:ind w:firstLine="640"/>
        <w:jc w:val="both"/>
      </w:pPr>
      <w:r>
        <w:rPr>
          <w:rFonts w:ascii="仿宋_GB2312" w:hAnsi="仿宋_GB2312" w:eastAsia="仿宋_GB2312"/>
          <w:b w:val="0"/>
          <w:sz w:val="32"/>
        </w:rPr>
        <w:t>5.卫生健康支出(类)行政事业单位医疗(款)事业单位医疗(项):支出决算数为14.28万元，比上年决算增加3.04万元，增长27.05%,主要原因是：本年在职人员工资基数调增，事业单位医疗缴费基数上涨，相应支出增加。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6.卫生健康支出(类)行政事业单位医疗(款)公务员医疗补助(项):支出决算数为0.89万元，比上年决算增加0.07万元，增长8.54%,主要原因是：本年在职人员工资基数调增，公务员医疗补助缴费基数上涨，相应支出增加。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7.卫生健康支出(类)行政事业单位医疗(款)其他行政事业单位医疗支出(项):支出决算数为0.11万元，比上年决算增加0.00万元，增长0.00%,主要原因是：本年在职人员其他行政事业单位医疗缴费与上年持平。</w:t>
      </w:r>
    </w:p>
    <w:p>
      <w:pPr>
        <w:spacing w:line="580" w:lineRule="exact"/>
        <w:ind w:firstLine="640"/>
        <w:jc w:val="both"/>
      </w:pPr>
      <w:r>
        <w:rPr>
          <w:rFonts w:ascii="仿宋_GB2312" w:hAnsi="仿宋_GB2312" w:eastAsia="仿宋_GB2312"/>
          <w:b w:val="0"/>
          <w:sz w:val="32"/>
        </w:rPr>
        <w:t>8.住房保障支出(类)住房改革支出(款)住房公积金(项):支出决算数为22.14万元，比上年决算增加1.29万元，增长6.19%,主要原因是：本年在职人员工资基数调增，公积金缴费基数上涨，相应支出增加。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2024年度一般公共预算财政拨款基本支出302.27万元，其中：</w:t>
      </w:r>
      <w:r>
        <w:rPr>
          <w:rFonts w:ascii="仿宋_GB2312" w:hAnsi="仿宋_GB2312" w:eastAsia="仿宋_GB2312"/>
          <w:b/>
          <w:sz w:val="32"/>
        </w:rPr>
        <w:t>人员经费282.89万元，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w:t>
      </w:r>
    </w:p>
    <w:p>
      <w:pPr>
        <w:spacing w:line="580" w:lineRule="exact"/>
        <w:ind w:firstLine="640"/>
        <w:jc w:val="both"/>
      </w:pPr>
      <w:r>
        <w:rPr>
          <w:rFonts w:ascii="仿宋_GB2312" w:hAnsi="仿宋_GB2312" w:eastAsia="仿宋_GB2312"/>
          <w:b/>
          <w:sz w:val="32"/>
        </w:rPr>
        <w:t>公用经费19.38万元，</w:t>
      </w:r>
      <w:r>
        <w:rPr>
          <w:rFonts w:ascii="仿宋_GB2312" w:hAnsi="仿宋_GB2312" w:eastAsia="仿宋_GB2312"/>
          <w:b w:val="0"/>
          <w:sz w:val="32"/>
        </w:rPr>
        <w:t>包括：办公费、印刷费、邮电费、差旅费、维修（护）费、劳务费、委托业务费、工会经费、福利费、公务用车运行维护费、其他交通费用、其他商品和服务支出。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2024年度财政拨款“三公”经费支出5.90万元，</w:t>
      </w:r>
      <w:r>
        <w:rPr>
          <w:rFonts w:ascii="仿宋_GB2312" w:hAnsi="仿宋_GB2312" w:eastAsia="仿宋_GB2312"/>
          <w:b w:val="0"/>
          <w:sz w:val="32"/>
        </w:rPr>
        <w:t>比上年增加3.50万元，增长145.83%，主要原因是：本年因业务需求，用车次数增加，燃油费增加，导致公务用车运行维护费较上年增加。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公务用车购置及运行维护费支出5.90万元，占100.00%，比上年增加3.50万元，增长145.83%，主要原因是：本年因业务需求，用车次数增加，燃油费增加，导致公务用车运行维护费较上年增加。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5.90万元，其中：公务用车购置费0.00万元，公务用车运行维护费5.90万元。公务用车运行维护费开支内容包括车辆加油费、维修费、保险费、审车费、过路费。公务用车购置数0辆，公务用车保有量1辆。国有资产占用情况中固定资产车辆0辆，与公务用车保有量差异原因是：借用其他单位车辆，车辆费用由本单位支付。</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5.90万元，决算数5.90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5.90万元，决算数5.90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2024年度昌吉回族自治州指挥中心（事业单位）公用经费支出19.38万元，比上年减少2.24万元，下降10.36%，主要原因是：本年办公费、委托业务费、印刷费支出减少，导致公用经费支出减少。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2024年度政府采购支出总额1.39万元，其中：政府采购货物支出1.06万元、政府采购工程支出0.00万元、政府采购服务支出0.33万元。</w:t>
      </w:r>
    </w:p>
    <w:p>
      <w:pPr>
        <w:spacing w:line="580" w:lineRule="exact"/>
        <w:ind w:firstLine="640"/>
        <w:jc w:val="both"/>
      </w:pPr>
      <w:r>
        <w:rPr>
          <w:rFonts w:ascii="仿宋_GB2312" w:hAnsi="仿宋_GB2312" w:eastAsia="仿宋_GB2312"/>
          <w:b w:val="0"/>
          <w:sz w:val="32"/>
        </w:rPr>
        <w:t>授予中小企业合同金额1.39万元，占政府采购支出总额的100.00%，其中：授予小微企业合同金额1.39万元，占政府采购支出总额的100.00%。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1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388.93万元，实际执行总额385.37万元；预算绩效评价项目0个，全年预算数0.00万元，全年执行数0.00万元。预算绩效管理取得的成效：本年绩效自评表涉密，不予公开。发现的问题及原因：本年绩效自评表涉密，不予公开。下一步改进措施：本年绩效自评表涉密，不予公开。具体附整体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昌吉回族自治州指挥中心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99.08%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9.91</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390.08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385.37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385.37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395.08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388.93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385.37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负责自治州指挥部办公室指挥调度，协调联络，应急统筹等。</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388.93万元，全年执行数为385.37万元，总预算执行率为99.08%。2024年我单位完成以下工作内容：1.指挥大厅设备巡检维护12次；2.分析研究问题隐患5次；3.召开主任办公会议3次；4.全年问题整改率100%；5.对全州中心站调度覆盖率100%。通过以上工作的实施，达到保障指挥大厅设备的正常运行，发现问题及时整改的效益。</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指挥大厅设备巡检维护</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分析研究问题隐患</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召开主任办公会议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全年问题整改率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对全州中心站调度覆盖率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本年本单位SM项目3个，全年预算数83.11元，全年执行数83.11万元。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