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昌吉回族自治州招商引资服务中心2024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(1)昌吉州营商环境服务中心负责协调落实优化营商环境相关措施，研究分析自治州营商环境存在的问题，提出意见建议。</w:t>
      </w:r>
    </w:p>
    <w:p>
      <w:pPr>
        <w:spacing w:line="580" w:lineRule="exact"/>
        <w:ind w:firstLine="640"/>
        <w:jc w:val="both"/>
      </w:pPr>
      <w:r>
        <w:rPr>
          <w:rFonts w:ascii="仿宋_GB2312" w:hAnsi="仿宋_GB2312" w:eastAsia="仿宋_GB2312"/>
          <w:sz w:val="32"/>
        </w:rPr>
        <w:t>(2)具体组织开展招招商引资工作，承担对外宣传推介、组织参加各类展会等工作。</w:t>
      </w:r>
    </w:p>
    <w:p>
      <w:pPr>
        <w:spacing w:line="580" w:lineRule="exact"/>
        <w:ind w:firstLine="640"/>
        <w:jc w:val="both"/>
      </w:pPr>
      <w:r>
        <w:rPr>
          <w:rFonts w:ascii="仿宋_GB2312" w:hAnsi="仿宋_GB2312" w:eastAsia="仿宋_GB2312"/>
          <w:sz w:val="32"/>
        </w:rPr>
        <w:t>(3)承担招招商引资综合服务保障工作，组织开展对外宣传推荐和招招商引资活动；承担招招商引资企业来昌吉州考察的对接协调和服务工作；承担与外省（区、市）驻疆办事机构和商（协）会、异地新疆商会的联系、协调、对接工作。</w:t>
      </w:r>
    </w:p>
    <w:p>
      <w:pPr>
        <w:spacing w:line="580" w:lineRule="exact"/>
        <w:ind w:firstLine="640"/>
        <w:jc w:val="both"/>
      </w:pPr>
      <w:r>
        <w:rPr>
          <w:rFonts w:ascii="仿宋_GB2312" w:hAnsi="仿宋_GB2312" w:eastAsia="仿宋_GB2312"/>
          <w:sz w:val="32"/>
        </w:rPr>
        <w:t>(4)负责重大招招商引资项目的跟踪服务。</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昌吉回族自治州招商引资服务中心2024年度，实有人数16人，其中：在职人员7人，增加0人；离休人员0人，增加0人；退休人员9人,减少1人。</w:t>
      </w:r>
    </w:p>
    <w:p>
      <w:pPr>
        <w:spacing w:line="580" w:lineRule="exact"/>
        <w:ind w:firstLine="640"/>
        <w:jc w:val="both"/>
      </w:pPr>
      <w:r>
        <w:rPr>
          <w:rFonts w:ascii="仿宋_GB2312" w:hAnsi="仿宋_GB2312" w:eastAsia="仿宋_GB2312"/>
          <w:sz w:val="32"/>
        </w:rPr>
        <w:t>昌吉回族自治州招商引资服务中心无下属预算单位，下设2个科室，分别是：综合科、招商服务科。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2024年度收入总计259.73万元，</w:t>
      </w:r>
      <w:r>
        <w:rPr>
          <w:rFonts w:ascii="仿宋_GB2312" w:hAnsi="仿宋_GB2312" w:eastAsia="仿宋_GB2312"/>
          <w:b w:val="0"/>
          <w:sz w:val="32"/>
        </w:rPr>
        <w:t>其中：本年收入合计220.67万元，使用非财政拨款结余（含专用结余）0.00万元，年初结转和结余39.06万元。</w:t>
      </w:r>
    </w:p>
    <w:p>
      <w:pPr>
        <w:spacing w:line="580" w:lineRule="exact"/>
        <w:ind w:firstLine="640"/>
        <w:jc w:val="both"/>
      </w:pPr>
      <w:r>
        <w:rPr>
          <w:rFonts w:ascii="仿宋_GB2312" w:hAnsi="仿宋_GB2312" w:eastAsia="仿宋_GB2312"/>
          <w:b/>
          <w:sz w:val="32"/>
        </w:rPr>
        <w:t>2024年度支出总计259.73万元，</w:t>
      </w:r>
      <w:r>
        <w:rPr>
          <w:rFonts w:ascii="仿宋_GB2312" w:hAnsi="仿宋_GB2312" w:eastAsia="仿宋_GB2312"/>
          <w:b w:val="0"/>
          <w:sz w:val="32"/>
        </w:rPr>
        <w:t>其中：本年支出合计226.48万元，结余分配0.00万元，年末结转和结余33.25万元。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增加42.62万元，增长19.63%，主要原因是：本年退休人员去世，抚恤金较上年增加。</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本年收入220.67万元，</w:t>
      </w:r>
      <w:r>
        <w:rPr>
          <w:rFonts w:ascii="仿宋_GB2312" w:hAnsi="仿宋_GB2312" w:eastAsia="仿宋_GB2312"/>
          <w:b w:val="0"/>
          <w:sz w:val="32"/>
        </w:rPr>
        <w:t>其中：财政拨款收入220.54万元，占99.94%；上级补助收入0.00万元，占0.00%；事业收入0.00万元，占0.00%；经营收入0.00万元，占0.00%；附属单位上缴收入0.00万元，占0.00%；其他收入0.14万元，占0.06%。</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本年支出226.48万元，</w:t>
      </w:r>
      <w:r>
        <w:rPr>
          <w:rFonts w:ascii="仿宋_GB2312" w:hAnsi="仿宋_GB2312" w:eastAsia="仿宋_GB2312"/>
          <w:b w:val="0"/>
          <w:sz w:val="32"/>
        </w:rPr>
        <w:t>其中：基本支出222.98万元，占98.45%；项目支出3.50万元，占1.55%；上缴上级支出0.00万元，占0.00%；经营支出0.00万元，占0.00%；对附属单位补助支出0.00万元，占0.00%。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2024年度财政拨款收入总计245.82万元，</w:t>
      </w:r>
      <w:r>
        <w:rPr>
          <w:rFonts w:ascii="仿宋_GB2312" w:hAnsi="仿宋_GB2312" w:eastAsia="仿宋_GB2312"/>
          <w:b w:val="0"/>
          <w:sz w:val="32"/>
        </w:rPr>
        <w:t>其中：年初财政拨款结转和结余25.28万元，本年财政拨款收入220.54万元。</w:t>
      </w:r>
      <w:r>
        <w:rPr>
          <w:rFonts w:ascii="仿宋_GB2312" w:hAnsi="仿宋_GB2312" w:eastAsia="仿宋_GB2312"/>
          <w:b/>
          <w:sz w:val="32"/>
        </w:rPr>
        <w:t>财政拨款支出总计245.82万元，</w:t>
      </w:r>
      <w:r>
        <w:rPr>
          <w:rFonts w:ascii="仿宋_GB2312" w:hAnsi="仿宋_GB2312" w:eastAsia="仿宋_GB2312"/>
          <w:b w:val="0"/>
          <w:sz w:val="32"/>
        </w:rPr>
        <w:t>其中：年末财政拨款结转和结余25.28万元，本年财政拨款支出220.54万元。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增加42.87万元，增长21.12%，主要原因是：本年退休人员去世，抚恤金较上年增加。</w:t>
      </w:r>
      <w:r>
        <w:rPr>
          <w:rFonts w:ascii="仿宋_GB2312" w:hAnsi="仿宋_GB2312" w:eastAsia="仿宋_GB2312"/>
          <w:b/>
          <w:sz w:val="32"/>
        </w:rPr>
        <w:t>与年初预算相比，</w:t>
      </w:r>
      <w:r>
        <w:rPr>
          <w:rFonts w:ascii="仿宋_GB2312" w:hAnsi="仿宋_GB2312" w:eastAsia="仿宋_GB2312"/>
          <w:b w:val="0"/>
          <w:sz w:val="32"/>
        </w:rPr>
        <w:t>年初预算数166.35万元，决算数245.82万元，预决算差异率47.77%，主要原因是：本年退休人员增加1人去世2人总体减少1人，退休人员的丧葬费抚恤金增加。</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2024年度一般公共预算财政拨款支出220.54万元，</w:t>
      </w:r>
      <w:r>
        <w:rPr>
          <w:rFonts w:ascii="仿宋_GB2312" w:hAnsi="仿宋_GB2312" w:eastAsia="仿宋_GB2312"/>
          <w:b w:val="0"/>
          <w:sz w:val="32"/>
        </w:rPr>
        <w:t>占本年支出合计的97.38%。</w:t>
      </w:r>
      <w:r>
        <w:rPr>
          <w:rFonts w:ascii="仿宋_GB2312" w:hAnsi="仿宋_GB2312" w:eastAsia="仿宋_GB2312"/>
          <w:b/>
          <w:sz w:val="32"/>
        </w:rPr>
        <w:t>与上年相比，</w:t>
      </w:r>
      <w:r>
        <w:rPr>
          <w:rFonts w:ascii="仿宋_GB2312" w:hAnsi="仿宋_GB2312" w:eastAsia="仿宋_GB2312"/>
          <w:b w:val="0"/>
          <w:sz w:val="32"/>
        </w:rPr>
        <w:t>增加42.87万元，增长24.13%，主要原因是：本年退休人员去世，抚恤金较上年增加。</w:t>
      </w:r>
      <w:r>
        <w:rPr>
          <w:rFonts w:ascii="仿宋_GB2312" w:hAnsi="仿宋_GB2312" w:eastAsia="仿宋_GB2312"/>
          <w:b/>
          <w:sz w:val="32"/>
        </w:rPr>
        <w:t>与年初预算相比,</w:t>
      </w:r>
      <w:r>
        <w:rPr>
          <w:rFonts w:ascii="仿宋_GB2312" w:hAnsi="仿宋_GB2312" w:eastAsia="仿宋_GB2312"/>
          <w:b w:val="0"/>
          <w:sz w:val="32"/>
        </w:rPr>
        <w:t>年初预算数166.35万元，决算数220.54万元，预决算差异率32.58%，主要原因是：本年退休人员增加1人去世2人总体减少1人，退休人员的丧葬费抚恤金增加。</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1.一般公共服务支出(类)151.90万元,占68.88%。</w:t>
      </w:r>
    </w:p>
    <w:p>
      <w:pPr>
        <w:spacing w:line="580" w:lineRule="exact"/>
        <w:ind w:firstLine="640"/>
        <w:jc w:val="both"/>
      </w:pPr>
      <w:r>
        <w:rPr>
          <w:rFonts w:ascii="仿宋_GB2312" w:hAnsi="仿宋_GB2312" w:eastAsia="仿宋_GB2312"/>
          <w:b w:val="0"/>
          <w:sz w:val="32"/>
        </w:rPr>
        <w:t>2.社会保障和就业支出(类)43.31万元,占19.64%。</w:t>
      </w:r>
    </w:p>
    <w:p>
      <w:pPr>
        <w:spacing w:line="580" w:lineRule="exact"/>
        <w:ind w:firstLine="640"/>
        <w:jc w:val="both"/>
      </w:pPr>
      <w:r>
        <w:rPr>
          <w:rFonts w:ascii="仿宋_GB2312" w:hAnsi="仿宋_GB2312" w:eastAsia="仿宋_GB2312"/>
          <w:b w:val="0"/>
          <w:sz w:val="32"/>
        </w:rPr>
        <w:t>3.卫生健康支出(类)10.08万元,占4.57%。</w:t>
      </w:r>
    </w:p>
    <w:p>
      <w:pPr>
        <w:spacing w:line="580" w:lineRule="exact"/>
        <w:ind w:firstLine="640"/>
        <w:jc w:val="both"/>
      </w:pPr>
      <w:r>
        <w:rPr>
          <w:rFonts w:ascii="仿宋_GB2312" w:hAnsi="仿宋_GB2312" w:eastAsia="仿宋_GB2312"/>
          <w:b w:val="0"/>
          <w:sz w:val="32"/>
        </w:rPr>
        <w:t>4.住房保障支出(类)15.26万元,占6.92%。</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1.一般公共服务支出(类)商贸事务(款)行政运行(项):支出决算数为0.00万元，比上年决算减少9.60万元，下降100.00%,主要原因是：本年科目调整，上年聘用人员工资单独列支，本年调整在主款项，导致经费减少。</w:t>
      </w:r>
    </w:p>
    <w:p>
      <w:pPr>
        <w:spacing w:line="580" w:lineRule="exact"/>
        <w:ind w:firstLine="640"/>
        <w:jc w:val="both"/>
      </w:pPr>
      <w:r>
        <w:rPr>
          <w:rFonts w:ascii="仿宋_GB2312" w:hAnsi="仿宋_GB2312" w:eastAsia="仿宋_GB2312"/>
          <w:b w:val="0"/>
          <w:sz w:val="32"/>
        </w:rPr>
        <w:t>2.一般公共服务支出(类)商贸事务(款)事业运行(项):支出决算数为148.40万元，比上年决算增加30.61万元，增长25.99%,主要原因是：本年科目调整，上年聘用人员工资单独列支，本年调整在主款项，导致经费增加；在职人员工资调增，相关人员经费增加。</w:t>
      </w:r>
    </w:p>
    <w:p>
      <w:pPr>
        <w:spacing w:line="580" w:lineRule="exact"/>
        <w:ind w:firstLine="640"/>
        <w:jc w:val="both"/>
      </w:pPr>
      <w:r>
        <w:rPr>
          <w:rFonts w:ascii="仿宋_GB2312" w:hAnsi="仿宋_GB2312" w:eastAsia="仿宋_GB2312"/>
          <w:b w:val="0"/>
          <w:sz w:val="32"/>
        </w:rPr>
        <w:t>3.一般公共服务支出(类)商贸事务(款)其他商贸事务支出(项):支出决算数为3.50万元，比上年决算增加3.50万元，增长100.00%,主要原因是：本年新增租赁公务用车一辆，新增租赁费。</w:t>
      </w:r>
    </w:p>
    <w:p>
      <w:pPr>
        <w:spacing w:line="580" w:lineRule="exact"/>
        <w:ind w:firstLine="640"/>
        <w:jc w:val="both"/>
      </w:pPr>
      <w:r>
        <w:rPr>
          <w:rFonts w:ascii="仿宋_GB2312" w:hAnsi="仿宋_GB2312" w:eastAsia="仿宋_GB2312"/>
          <w:b w:val="0"/>
          <w:sz w:val="32"/>
        </w:rPr>
        <w:t>4.社会保障和就业支出(类)行政事业单位养老支出(款)事业单位离退休(项):支出决算数为6.42万元，比上年决算增加2.20万元，增长52.13%,主要原因是：本年增加退休人员基础绩效奖，退休费支出增加。</w:t>
      </w:r>
    </w:p>
    <w:p>
      <w:pPr>
        <w:spacing w:line="580" w:lineRule="exact"/>
        <w:ind w:firstLine="640"/>
        <w:jc w:val="both"/>
      </w:pPr>
      <w:r>
        <w:rPr>
          <w:rFonts w:ascii="仿宋_GB2312" w:hAnsi="仿宋_GB2312" w:eastAsia="仿宋_GB2312"/>
          <w:b w:val="0"/>
          <w:sz w:val="32"/>
        </w:rPr>
        <w:t>5.社会保障和就业支出(类)行政事业单位养老支出(款)机关事业单位基本养老保险缴费支出(项):支出决算数为17.24万元，比上年决算增加0.92万元，增长5.64%,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6.社会保障和就业支出(类)行政事业单位养老支出(款)机关事业单位职业年金缴费支出(项):支出决算数为19.65万元，比上年决算增加11.50万元，增长141.10%,主要原因是：本年新增退休人员，职业年金缴费支出增加。</w:t>
      </w:r>
    </w:p>
    <w:p>
      <w:pPr>
        <w:spacing w:line="580" w:lineRule="exact"/>
        <w:ind w:firstLine="640"/>
        <w:jc w:val="both"/>
      </w:pPr>
      <w:r>
        <w:rPr>
          <w:rFonts w:ascii="仿宋_GB2312" w:hAnsi="仿宋_GB2312" w:eastAsia="仿宋_GB2312"/>
          <w:b w:val="0"/>
          <w:sz w:val="32"/>
        </w:rPr>
        <w:t>7.卫生健康支出(类)行政事业单位医疗(款)事业单位医疗(项):支出决算数为9.42万元，比上年决算增加1.27万元，增长15.58%,主要原因是：本年在职人员工资基数调增，医疗缴费基数上涨，相应支出增加。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8.卫生健康支出(类)行政事业单位医疗(款)公务员医疗补助(项):支出决算数为0.56万元，比上年决算增加0.05万元，增长9.80%,主要原因是：本年在职人员工资基数调增，医疗缴费基数上涨，相应支出增加。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9.卫生健康支出(类)行政事业单位医疗(款)其他行政事业单位医疗支出(项):支出决算数为0.10万元，比上年决算减少0.01万元，下降9.09%,主要原因是：本年在职人员调入，退休，人员职级不同，缴费基数不同，导致其他行政事业单位医疗支出较上年减少。</w:t>
      </w:r>
    </w:p>
    <w:p>
      <w:pPr>
        <w:spacing w:line="580" w:lineRule="exact"/>
        <w:ind w:firstLine="640"/>
        <w:jc w:val="both"/>
      </w:pPr>
      <w:r>
        <w:rPr>
          <w:rFonts w:ascii="仿宋_GB2312" w:hAnsi="仿宋_GB2312" w:eastAsia="仿宋_GB2312"/>
          <w:b w:val="0"/>
          <w:sz w:val="32"/>
        </w:rPr>
        <w:t>10.住房保障支出(类)住房改革支出(款)住房公积金(项):支出决算数为15.26万元，比上年决算增加2.45万元，增长19.13%,主要原因是：本年在职人员工资基数调增，公积金缴费基数上涨，相应支出增加。</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2024年度一般公共预算财政拨款基本支出217.04万元，其中：</w:t>
      </w:r>
      <w:r>
        <w:rPr>
          <w:rFonts w:ascii="仿宋_GB2312" w:hAnsi="仿宋_GB2312" w:eastAsia="仿宋_GB2312"/>
          <w:b/>
          <w:sz w:val="32"/>
        </w:rPr>
        <w:t>人员经费197.76万元，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包括：基本工资、津贴补贴、奖金、绩效工资、机关事业单位基本养老保险缴费、职业年金缴费、职工基本医疗保险缴费、公务员医疗补助缴费、其他社会保障缴费、住房公积金、退休费、抚恤金、奖励金。</w:t>
      </w:r>
    </w:p>
    <w:p>
      <w:pPr>
        <w:spacing w:line="580" w:lineRule="exact"/>
        <w:ind w:firstLine="640"/>
        <w:jc w:val="both"/>
      </w:pPr>
      <w:r>
        <w:rPr>
          <w:rFonts w:ascii="仿宋_GB2312" w:hAnsi="仿宋_GB2312" w:eastAsia="仿宋_GB2312"/>
          <w:b/>
          <w:sz w:val="32"/>
        </w:rPr>
        <w:t>公用经费19.28万元，</w:t>
      </w:r>
      <w:r>
        <w:rPr>
          <w:rFonts w:ascii="仿宋_GB2312" w:hAnsi="仿宋_GB2312" w:eastAsia="仿宋_GB2312"/>
          <w:b w:val="0"/>
          <w:sz w:val="32"/>
        </w:rPr>
        <w:t>包括：办公费、印刷费、电费、取暖费、物业管理费、差旅费、维修（护）费、公务接待费、劳务费、委托业务费、工会经费、福利费、公务用车运行维护费、其他商品和服务支出。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2024年度财政拨款“三公”经费支出5.63万元，</w:t>
      </w:r>
      <w:r>
        <w:rPr>
          <w:rFonts w:ascii="仿宋_GB2312" w:hAnsi="仿宋_GB2312" w:eastAsia="仿宋_GB2312"/>
          <w:b w:val="0"/>
          <w:sz w:val="32"/>
        </w:rPr>
        <w:t>比上年增加3.49万元，增长162.33%，主要原因是：本年因业务需求，用车次数增加，燃油费增加，导致公务用车运行维护费较上年增加。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公务用车购置及运行维护费支出5.49万元，占97.51%，比上年增加3.49万元，增长174.50%，主要原因是：本年因业务需求，用车次数增加，燃油费增加，导致公务用车运行维护费较上年增加。</w:t>
      </w:r>
      <w:r>
        <w:rPr>
          <w:rFonts w:ascii="仿宋_GB2312" w:hAnsi="仿宋_GB2312" w:eastAsia="仿宋_GB2312"/>
          <w:b w:val="0"/>
          <w:sz w:val="32"/>
        </w:rPr>
        <w:t>公务接待费支出0.15万元，占2.66%，比上年增加0.00万元，增长0.00%，主要原因是：我单位公务接待费与上年一致无变化。</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5.49万元，其中：公务用车购置费0.00万元，公务用车运行维护费5.49万元。公务用车运行维护费开支内容包括车辆加油费、维修费、保险费、审车费、过路费等。公务用车购置数0辆，公务用车保有量1辆。国有资产占用情况中固定资产车辆0辆，与公务用车保有量差异原因是：借用其他单位车辆，车辆费用由本单位支付。</w:t>
      </w:r>
    </w:p>
    <w:p>
      <w:pPr>
        <w:spacing w:line="580" w:lineRule="exact"/>
        <w:ind w:firstLine="640"/>
        <w:jc w:val="both"/>
      </w:pPr>
      <w:r>
        <w:rPr>
          <w:rFonts w:ascii="仿宋_GB2312" w:hAnsi="仿宋_GB2312" w:eastAsia="仿宋_GB2312"/>
          <w:b w:val="0"/>
          <w:sz w:val="32"/>
        </w:rPr>
        <w:t>公务接待费0.15万元，开支内容包括因考察学习，接待福建客商考察学习产生的就餐费。单位全年安排的国内公务接待1批次，10人次。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5.63万元，决算数5.63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5.49万元，决算数5.49万元，预决算差异率0.00%，主要原因是：严格按照预算执行，预决算无差异。公务接待费全年预算数0.15万元，决算数0.15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2024年度昌吉回族自治州招商引资服务中心（事业单位）公用经费支出19.28万元，比上年减少3.89万元，下降16.79%，主要原因是：严格控制公用经费，合理节约办公用品，减少不必要开支。</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2024年度政府采购支出总额1.99万元，其中：政府采购货物支出0.00万元、政府采购工程支出0.00万元、政府采购服务支出1.99万元。</w:t>
      </w:r>
    </w:p>
    <w:p>
      <w:pPr>
        <w:spacing w:line="580" w:lineRule="exact"/>
        <w:ind w:firstLine="640"/>
        <w:jc w:val="both"/>
      </w:pPr>
      <w:r>
        <w:rPr>
          <w:rFonts w:ascii="仿宋_GB2312" w:hAnsi="仿宋_GB2312" w:eastAsia="仿宋_GB2312"/>
          <w:b w:val="0"/>
          <w:sz w:val="32"/>
        </w:rPr>
        <w:t>授予中小企业合同金额1.99万元，占政府采购支出总额的100.00%，其中：授予小微企业合同金额1.99万元，占政府采购支出总额的100.00%。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4,219.41平方米，价值934.90万元。车辆0辆，价值0.00万元，其中：副部（省）级及以上领导用车0辆、主要负责人用车0辆、机要通信用车0辆、应急保障用车0辆、执法执勤用车0辆、特种专业技术用车0辆、离退休干部服务用车0辆、其他用车0辆，其他用车主要是：我单位无其他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259.73万元，实际执行总额226.48万元；预算绩效评价项目0个，全年预算数0.00万元，全年执行数0.00万元。预算绩效管理取得的成效：一是建立健全了预算管理规章制度，各部门严格按预算编制和要求做好当年预算编制工作，在预算绩效管理工作中，做到合理安排各项资金，重点保障基本支出，按轻重缓急顺序原则，优先安排了阜康市人民政府办公室事业发展中关系民生与稳定的项目，切实优化资源配置，提高了资金使用的效率和效果。二是进一步完善单位财务制度，严格执行财务管理，按财政部门的要求进行决算、编制财务报告，并到相关业务科室进行审核，能按要求时间准时上报财政部门。发现的问题及原因：一是要加强财务人员业务学习能力和自身素质的提高，才能保证财务工作的严要求、高标准。二是进一步加强预算管理，预算编制依据充分合理，避免预算统筹考虑不足，出现预算执行不均衡现象。下一步改进措施：一是加强预算绩效目标编制的培训学习，科学合理编制预算，严格执行预算，提高财务信息质量；二是进一步加强单位内部机构的预算管理意识，严格按照预算编制的相关制度和要求进行预算编制，加强单位财务管理，健全单位财务管理制度体系，规范单位财务行为。具体附整体支出绩效自评表。</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昌吉回族自治州招商引资服务中心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87.2%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8.72</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166.35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253.78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220.53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178.35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259.73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226.48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负责组织开展招招商引资，对外宣传推介，组织各类展会工作；负责重大招招商引资项目的全程服务；负责做好驻疆商会沟通联系，提高招招商引资服务水平，推进自治州产业高质量发展</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259.73万元，全年执行数为226.48万元，总预算执行率为87.20%。2024年我单位完成以下工作内容：1、该项目实际完成组织开展外出精准招商2次、2、联系对接驻疆商会10次；3.组织召开自治州招招商引资培训2次，通过该项目的实施，提升招招商引资信息化水平，完成了重大招招商引资项目的全程服务；招商成效显著。提升了服务质量和工作效率，促进了部门业务开展工作，保障单位机构正常运转。</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组织开展外出精准招商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2024年招商引资工作要点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联系对接驻疆商会</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2024年招商引资工作要点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组织召开自治州招商引资培训</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2024年招商引资工作要点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提高招商引资服务水平</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2024年招商引资工作要点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提升招商引资项目谋划质量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2024年招商引资工作要点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