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昌吉回族自治州优化营商环境服务中心2024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（1）昌吉回族自治州优化营商环境服务中心主要负责牵头推进优化营商环境的服务保障工作。</w:t>
      </w:r>
    </w:p>
    <w:p>
      <w:pPr>
        <w:spacing w:line="580" w:lineRule="exact"/>
        <w:ind w:firstLine="640"/>
        <w:jc w:val="both"/>
      </w:pPr>
      <w:r>
        <w:rPr>
          <w:rFonts w:ascii="仿宋_GB2312" w:hAnsi="仿宋_GB2312" w:eastAsia="仿宋_GB2312"/>
          <w:sz w:val="32"/>
        </w:rPr>
        <w:t>（2）指导、组织、协调、督促有关部门单位落实优化营商环境相关措施。</w:t>
      </w:r>
    </w:p>
    <w:p>
      <w:pPr>
        <w:spacing w:line="580" w:lineRule="exact"/>
        <w:ind w:firstLine="640"/>
        <w:jc w:val="both"/>
      </w:pPr>
      <w:r>
        <w:rPr>
          <w:rFonts w:ascii="仿宋_GB2312" w:hAnsi="仿宋_GB2312" w:eastAsia="仿宋_GB2312"/>
          <w:sz w:val="32"/>
        </w:rPr>
        <w:t>（3）负责优化营商环境绩效考核的具体组织实施工作。</w:t>
      </w:r>
    </w:p>
    <w:p>
      <w:pPr>
        <w:spacing w:line="580" w:lineRule="exact"/>
        <w:ind w:firstLine="640"/>
        <w:jc w:val="both"/>
      </w:pPr>
      <w:r>
        <w:rPr>
          <w:rFonts w:ascii="仿宋_GB2312" w:hAnsi="仿宋_GB2312" w:eastAsia="仿宋_GB2312"/>
          <w:sz w:val="32"/>
        </w:rPr>
        <w:t>（4）研究分析优化营商环境存在的问题并提出意见建议。</w:t>
      </w:r>
    </w:p>
    <w:p>
      <w:pPr>
        <w:spacing w:line="580" w:lineRule="exact"/>
        <w:ind w:firstLine="640"/>
        <w:jc w:val="both"/>
      </w:pPr>
      <w:r>
        <w:rPr>
          <w:rFonts w:ascii="仿宋_GB2312" w:hAnsi="仿宋_GB2312" w:eastAsia="仿宋_GB2312"/>
          <w:sz w:val="32"/>
        </w:rPr>
        <w:t>（5）负责组织开展政府投资项目评审工作。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昌吉回族自治州优化营商环境服务中心2024年度，实有人数13人，其中：在职人员9人，增加0人；离休人员0人，增加0人；退休人员4人,减少1人。</w:t>
      </w:r>
    </w:p>
    <w:p>
      <w:pPr>
        <w:spacing w:line="580" w:lineRule="exact"/>
        <w:ind w:firstLine="640"/>
        <w:jc w:val="both"/>
      </w:pPr>
      <w:r>
        <w:rPr>
          <w:rFonts w:ascii="仿宋_GB2312" w:hAnsi="仿宋_GB2312" w:eastAsia="仿宋_GB2312"/>
          <w:sz w:val="32"/>
        </w:rPr>
        <w:t>昌吉回族自治州优化营商环境服务中心无下属预算单位，下设1个科室，分别是：本单位无下属科室。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2024年度收入总计189.97万元，</w:t>
      </w:r>
      <w:r>
        <w:rPr>
          <w:rFonts w:ascii="仿宋_GB2312" w:hAnsi="仿宋_GB2312" w:eastAsia="仿宋_GB2312"/>
          <w:b w:val="0"/>
          <w:sz w:val="32"/>
        </w:rPr>
        <w:t>其中：本年收入合计179.22万元，使用非财政拨款结余（含专用结余）0.00万元，年初结转和结余10.75万元。</w:t>
      </w:r>
    </w:p>
    <w:p>
      <w:pPr>
        <w:spacing w:line="580" w:lineRule="exact"/>
        <w:ind w:firstLine="640"/>
        <w:jc w:val="both"/>
      </w:pPr>
      <w:r>
        <w:rPr>
          <w:rFonts w:ascii="仿宋_GB2312" w:hAnsi="仿宋_GB2312" w:eastAsia="仿宋_GB2312"/>
          <w:b/>
          <w:sz w:val="32"/>
        </w:rPr>
        <w:t>2024年度支出总计189.97万元，</w:t>
      </w:r>
      <w:r>
        <w:rPr>
          <w:rFonts w:ascii="仿宋_GB2312" w:hAnsi="仿宋_GB2312" w:eastAsia="仿宋_GB2312"/>
          <w:b w:val="0"/>
          <w:sz w:val="32"/>
        </w:rPr>
        <w:t>其中：本年支出合计179.34万元，结余分配0.00万元，年末结转和结余10.63万元。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增加21.48万元，增长12.75%，主要原因是：本年在职人员工资调薪，工资、社保、公积金等基数调整，相关人员经费增加；退休人员采暖费、绩效奖等人员经费。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本年收入179.22万元，</w:t>
      </w:r>
      <w:r>
        <w:rPr>
          <w:rFonts w:ascii="仿宋_GB2312" w:hAnsi="仿宋_GB2312" w:eastAsia="仿宋_GB2312"/>
          <w:b w:val="0"/>
          <w:sz w:val="32"/>
        </w:rPr>
        <w:t>其中：财政拨款收入179.19万元，占99.98%；上级补助收入0.00万元，占0.00%；事业收入0.00万元，占0.00%；经营收入0.00万元，占0.00%；附属单位上缴收入0.00万元，占0.00%；其他收入0.03万元，占0.02%。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本年支出179.34万元，</w:t>
      </w:r>
      <w:r>
        <w:rPr>
          <w:rFonts w:ascii="仿宋_GB2312" w:hAnsi="仿宋_GB2312" w:eastAsia="仿宋_GB2312"/>
          <w:b w:val="0"/>
          <w:sz w:val="32"/>
        </w:rPr>
        <w:t>其中：基本支出174.19万元，占97.13%；项目支出5.15万元，占2.87%；上缴上级支出0.00万元，占0.00%；经营支出0.00万元，占0.00%；对附属单位补助支出0.00万元，占0.00%。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2024年度财政拨款收入总计179.19万元，</w:t>
      </w:r>
      <w:r>
        <w:rPr>
          <w:rFonts w:ascii="仿宋_GB2312" w:hAnsi="仿宋_GB2312" w:eastAsia="仿宋_GB2312"/>
          <w:b w:val="0"/>
          <w:sz w:val="32"/>
        </w:rPr>
        <w:t>其中：年初财政拨款结转和结余0.00万元，本年财政拨款收入179.19万元。</w:t>
      </w:r>
      <w:r>
        <w:rPr>
          <w:rFonts w:ascii="仿宋_GB2312" w:hAnsi="仿宋_GB2312" w:eastAsia="仿宋_GB2312"/>
          <w:b/>
          <w:sz w:val="32"/>
        </w:rPr>
        <w:t>财政拨款支出总计179.19万元，</w:t>
      </w:r>
      <w:r>
        <w:rPr>
          <w:rFonts w:ascii="仿宋_GB2312" w:hAnsi="仿宋_GB2312" w:eastAsia="仿宋_GB2312"/>
          <w:b w:val="0"/>
          <w:sz w:val="32"/>
        </w:rPr>
        <w:t>其中：年末财政拨款结转和结余0.00万元，本年财政拨款支出179.19万元。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增加25.00万元，增长16.21%，主要原因是：本年在职人员工资调薪，工资、社保、公积金等基数调整，相关人员经费增加；退休人员采暖费、绩效奖等人员经费。</w:t>
      </w:r>
      <w:r>
        <w:rPr>
          <w:rFonts w:ascii="仿宋_GB2312" w:hAnsi="仿宋_GB2312" w:eastAsia="仿宋_GB2312"/>
          <w:b/>
          <w:sz w:val="32"/>
        </w:rPr>
        <w:t>与年初预算相比，</w:t>
      </w:r>
      <w:r>
        <w:rPr>
          <w:rFonts w:ascii="仿宋_GB2312" w:hAnsi="仿宋_GB2312" w:eastAsia="仿宋_GB2312"/>
          <w:b w:val="0"/>
          <w:sz w:val="32"/>
        </w:rPr>
        <w:t>年初预算数164.96万元，决算数179.19万元，预决算差异率8.63%，主要原因是：年中追加人员工资、社保、公积金基数调增部分资金，导致预决算存在差异。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2024年度一般公共预算财政拨款支出179.19万元，</w:t>
      </w:r>
      <w:r>
        <w:rPr>
          <w:rFonts w:ascii="仿宋_GB2312" w:hAnsi="仿宋_GB2312" w:eastAsia="仿宋_GB2312"/>
          <w:b w:val="0"/>
          <w:sz w:val="32"/>
        </w:rPr>
        <w:t>占本年支出合计的99.92%。</w:t>
      </w:r>
      <w:r>
        <w:rPr>
          <w:rFonts w:ascii="仿宋_GB2312" w:hAnsi="仿宋_GB2312" w:eastAsia="仿宋_GB2312"/>
          <w:b/>
          <w:sz w:val="32"/>
        </w:rPr>
        <w:t>与上年相比，</w:t>
      </w:r>
      <w:r>
        <w:rPr>
          <w:rFonts w:ascii="仿宋_GB2312" w:hAnsi="仿宋_GB2312" w:eastAsia="仿宋_GB2312"/>
          <w:b w:val="0"/>
          <w:sz w:val="32"/>
        </w:rPr>
        <w:t>增加25.00万元，增长16.21%，主要原因是：本年在职人员工资调薪，工资、社保、公积金等基数调整，相关人员经费增加；退休人员采暖费、绩效奖等人员经费。</w:t>
      </w:r>
      <w:r>
        <w:rPr>
          <w:rFonts w:ascii="仿宋_GB2312" w:hAnsi="仿宋_GB2312" w:eastAsia="仿宋_GB2312"/>
          <w:b/>
          <w:sz w:val="32"/>
        </w:rPr>
        <w:t>与年初预算相比,</w:t>
      </w:r>
      <w:r>
        <w:rPr>
          <w:rFonts w:ascii="仿宋_GB2312" w:hAnsi="仿宋_GB2312" w:eastAsia="仿宋_GB2312"/>
          <w:b w:val="0"/>
          <w:sz w:val="32"/>
        </w:rPr>
        <w:t>年初预算数164.96万元，决算数179.19万元，预决算差异率8.63%，主要原因是：年中追加人员工资、社保、公积金基数调增部分资金，导致预决算存在差异。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1.一般公共服务支出(类)131.37万元,占73.31%。</w:t>
      </w:r>
    </w:p>
    <w:p>
      <w:pPr>
        <w:spacing w:line="580" w:lineRule="exact"/>
        <w:ind w:firstLine="640"/>
        <w:jc w:val="both"/>
      </w:pPr>
      <w:r>
        <w:rPr>
          <w:rFonts w:ascii="仿宋_GB2312" w:hAnsi="仿宋_GB2312" w:eastAsia="仿宋_GB2312"/>
          <w:b w:val="0"/>
          <w:sz w:val="32"/>
        </w:rPr>
        <w:t>2.社会保障和就业支出(类)26.51万元,占14.79%。</w:t>
      </w:r>
    </w:p>
    <w:p>
      <w:pPr>
        <w:spacing w:line="580" w:lineRule="exact"/>
        <w:ind w:firstLine="640"/>
        <w:jc w:val="both"/>
      </w:pPr>
      <w:r>
        <w:rPr>
          <w:rFonts w:ascii="仿宋_GB2312" w:hAnsi="仿宋_GB2312" w:eastAsia="仿宋_GB2312"/>
          <w:b w:val="0"/>
          <w:sz w:val="32"/>
        </w:rPr>
        <w:t>3.卫生健康支出(类)8.50万元,占4.74%。</w:t>
      </w:r>
    </w:p>
    <w:p>
      <w:pPr>
        <w:spacing w:line="580" w:lineRule="exact"/>
        <w:ind w:firstLine="640"/>
        <w:jc w:val="both"/>
      </w:pPr>
      <w:r>
        <w:rPr>
          <w:rFonts w:ascii="仿宋_GB2312" w:hAnsi="仿宋_GB2312" w:eastAsia="仿宋_GB2312"/>
          <w:b w:val="0"/>
          <w:sz w:val="32"/>
        </w:rPr>
        <w:t>4.住房保障支出(类)12.80万元,占7.14%。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1.一般公共服务支出(类)发展与改革事务(款)事业运行(项):支出决算数为126.37万元，比上年决算增加6.50万元，增长5.42%,主要原因是：本年在职人员工资调增，导致相关人员经费较上年有所增加。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2.一般公共服务支出(类)发展与改革事务(款)其他发展与改革事务支出(项):支出决算数为5.00万元，比上年决算减少5.00万元，下降50.00%,主要原因是：本年优化营商环境业务宣传项目经费较上年减少。</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3.社会保障和就业支出(类)行政事业单位养老支出(款)事业单位离退休(项):支出决算数为2.72万元，比上年决算增加0.99万元，增长57.23%,主要原因是：本年增加退休人员基础绩效奖，退休费支出增加。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15.86万元，比上年决算增加7.87万元，增长98.50%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7.93万元，比上年决算增加3.94万元，增长98.75%,主要原因是：本年在职人员工资基数调增，职业年金缴费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6.卫生健康支出(类)行政事业单位医疗(款)事业单位医疗(项):支出决算数为7.93万元，比上年决算增加3.94万元，增长98.75%,主要原因是：本年在职人员工资基数调增，医疗缴费基数上涨，相应支出增加。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7.卫生健康支出(类)行政事业单位医疗(款)公务员医疗补助(项):支出决算数为0.50万元，比上年决算增加0.25万元，增长100.00%,主要原因是：本年在职人员工资基数调增，医疗缴费基数上涨，相应支出增加。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8.卫生健康支出(类)行政事业单位医疗(款)其他行政事业单位医疗支出(项):支出决算数为0.08万元，比上年决算增加0.03万元，增长60.00%,主要原因是：本年在职人员工资基数调增，医疗缴费基数上涨，相应支出增加。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9.住房保障支出(类)住房改革支出(款)住房公积金(项):支出决算数为12.80万元，比上年决算增加6.48万元，增长102.53%,主要原因是：本年在职人员工资基数调增，公积金缴费基数上涨，相应支出增加。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2024年度一般公共预算财政拨款基本支出174.19万元，其中：</w:t>
      </w:r>
      <w:r>
        <w:rPr>
          <w:rFonts w:ascii="仿宋_GB2312" w:hAnsi="仿宋_GB2312" w:eastAsia="仿宋_GB2312"/>
          <w:b/>
          <w:sz w:val="32"/>
        </w:rPr>
        <w:t>人员经费161.52万元，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公用经费12.67万元，</w:t>
      </w:r>
      <w:r>
        <w:rPr>
          <w:rFonts w:ascii="仿宋_GB2312" w:hAnsi="仿宋_GB2312" w:eastAsia="仿宋_GB2312"/>
          <w:b w:val="0"/>
          <w:sz w:val="32"/>
        </w:rPr>
        <w:t>包括：办公费、印刷费、手续费、水费、电费、邮电费、物业管理费、差旅费、维修（护）费、培训费、工会经费、福利费、公务用车运行维护费、其他商品和服务支出。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加油费、维修费、保险费、审车费等。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2.00万元，决算数2.00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2024年度昌吉回族自治州优化营商环境服务中心（事业单位）公用经费支出12.67万元，比上年增加5.16万元，增长68.71%，主要原因是：本年更新、维护补充办公用品，导致公用经费较上年增加。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2024年度政府采购支出总额1.52万元，其中：政府采购货物支出0.41万元、政府采购工程支出0.00万元、政府采购服务支出1.11万元。</w:t>
      </w:r>
    </w:p>
    <w:p>
      <w:pPr>
        <w:spacing w:line="580" w:lineRule="exact"/>
        <w:ind w:firstLine="640"/>
        <w:jc w:val="both"/>
      </w:pPr>
      <w:r>
        <w:rPr>
          <w:rFonts w:ascii="仿宋_GB2312" w:hAnsi="仿宋_GB2312" w:eastAsia="仿宋_GB2312"/>
          <w:b w:val="0"/>
          <w:sz w:val="32"/>
        </w:rPr>
        <w:t>授予中小企业合同金额1.28万元，占政府采购支出总额的84.21%，其中：授予小微企业合同金额1.01万元，占政府采购支出总额的66.45%。</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300.00平方米，价值29.04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189.97万元，实际执行总额179.34万元；预算绩效评价项目1个，全年预算数5.00万元，全年执行数5.00万元。预算绩效管理取得的成效：1、建立健全了预算管理规章制度，更严格的按照预算编制的原则和要求做好当年预算编制工作；2、在预算绩效管理工作中可以更合理的安排各项资金；3、我单位的工作更好的按照轻重缓急顺序原则，优先安排了昌吉州优化营商环境服务中心与融媒体中心合作宣传营商政策业务工作的经费，切实优化资源配置，提高了资金使用的效率和效果。发现的问题及原因：1、内控制度不完善，随着资金管理改革的进一步推进，我单位内部机构进行了相应的优化，建立健全了财务管理制度，固定资产管理制度，差旅费报销制度等，但仍需进一步强化财务约束监督体制；2、企业业务负责人员水平参差不齐，个别企业优化营商管理水平不高，不利于提高企业管理水平；3、业务人员绩效管理意识有待增强，未能全面深入认识理解绩效管理工作的意义。绩效管理经验不足，预算绩效管理工作有待进一步。下一步改进措施：1、进一步完善单位内控制度，建立完善的财务管理制度，加强财务监督体制，使绩效管理得到进一步优化；2、进一步完善单位内控制度，建立完善的财务管理制度，加强财务监督体制，使绩效管理得到进一步优化；3、进一步加强单位内部机构的预算管理意识，严格按照预算编制的相关制度和要求进行预算编制，加强单位财务管理，健全单位财务管理制度体系，规范单位财务行为；4、继续加强《中华人民共和国预算法》及《预算法实施条例》的宣传、学习贯彻力度；5、提高资金使用率，及时支付；6、资金管理方面，加强对预算的监督管理，同时加强预算资金管理的执行力度，完善预算资金的监督体系，强化单位财政资金的跟踪监察，对资金的申报、拨付及使用情况进行监管。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昌吉回族自治州优化营商环境服务中心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164.96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182.97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179.34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171.96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189.97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179.34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根据自治州发改委和县市根据州编委三定方案中明确的职责，全面贯彻落实区、州优化营商环境工作的决策部署，充分做好我州优化营商环境三年行动方案重点工作任务。2、加强优化营商政策业务学习以及疆内外交流沟通，借鉴先进的工作经验，为企业创造良好的营商氛围。3、优化营商环境绩效考核的具体组织实施工作；负责组织开展政府投资项目评审工作；广泛宣传推介自治州营商环境政策举措，不断提升自治州营商环境的感知度和影响力，形成全社会广泛支持和参与营商环境建设的良好氛围。</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189.97万元，全年执行数为179.34万元，总预算执行率为94.4%。2024年我单位完成以下工作内容：1.实三年行动方案，全面提升营商环境，继续贯彻落实昌吉州实施营商环境优化提升三年行动方案;2.做好迎接世行新一轮营商环境评估工作;3.加强学习宣传，营造良好氛围;4.加强项目评审工作人员专业培训;5.加强专家库的管理力度。通过以上工作的实施,促进昌吉州优化营商环境工作提质增效。</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政府投资评审项目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营商环境服务中心2024年工作计划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制定昌吉州优化营商环境2024年重点工作任务清单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营商环境服务中心2024年工作计划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做好迎接世界银行新一轮营商环境评价、企业调查工作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营商环境服务中心2024年工作计划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指导各县市园区做好优化营商环境工作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营商环境服务中心2024年工作计划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督促州直各部门落实优化营商环境重点任务清单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营商环境服务中心2024年工作计划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公众号运行工作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营商环境服务中心2024年工作计划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媒体宣传工作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营商环境服务中心2024年工作计划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优化营商环境宣传费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昌吉回族自治州政府投资项目评审中心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自治州发改委和县市根据州编委三定方案中明确的职责，全面贯彻落实区、州优化营商环境工作的决策部署，充分做好我州优化营商环境三年行动方案重点工作任务。加强优化营商政策业务学习以及疆内外交流沟通，借鉴先进的工作经验，为企业创造良好的营商氛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情况100%，项目经费已全部支付完成，并完成了一个公众号运行与优化营商媒体宣传工作，通过走访和各项宣传工作提升了企业对营商环境政策知晓率，不断打造昌吉州优良的营商环境，营造亲清政商关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公众号运行工作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媒体宣传工作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提高企业对营商环境政策知晓率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公众号运营费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营商宣传费用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打造昌吉州优良的营商环境,营造亲清政商关系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