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昌吉回族自治州社会科学界联合会2024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围绕中心服务大局，发挥社科理论优势，围绕习近平新时代中国特色社会主义思想、“总目标”及党委、政府中心工作，组织专家学者开展哲学、社会科学研究，撰写出有实用价值的课题报告，发挥好“智囊团”、“思想库”的作用。</w:t>
      </w:r>
    </w:p>
    <w:p>
      <w:pPr>
        <w:spacing w:line="580" w:lineRule="exact"/>
        <w:ind w:firstLine="640"/>
        <w:jc w:val="both"/>
      </w:pPr>
      <w:r>
        <w:rPr>
          <w:rFonts w:ascii="仿宋_GB2312" w:hAnsi="仿宋_GB2312" w:eastAsia="仿宋_GB2312"/>
          <w:sz w:val="32"/>
        </w:rPr>
        <w:t>2.指导、推动县市社科联工作，推动基层社会科学界组织开展社会科学普及活动，提高社科普及实效，传播正能量，提升干部群众的社科人文素养，听党话，感党恩。</w:t>
      </w:r>
    </w:p>
    <w:p>
      <w:pPr>
        <w:spacing w:line="580" w:lineRule="exact"/>
        <w:ind w:firstLine="640"/>
        <w:jc w:val="both"/>
      </w:pPr>
      <w:r>
        <w:rPr>
          <w:rFonts w:ascii="仿宋_GB2312" w:hAnsi="仿宋_GB2312" w:eastAsia="仿宋_GB2312"/>
          <w:sz w:val="32"/>
        </w:rPr>
        <w:t>3.依法对社科类的社会团体进行指导、监督，增强社科群团组织的自我发展能力、自我管理能力、学术服务能力，推动社会科学界的社团健康有序发展。</w:t>
      </w:r>
    </w:p>
    <w:p>
      <w:pPr>
        <w:spacing w:line="580" w:lineRule="exact"/>
        <w:ind w:firstLine="640"/>
        <w:jc w:val="both"/>
      </w:pPr>
      <w:r>
        <w:rPr>
          <w:rFonts w:ascii="仿宋_GB2312" w:hAnsi="仿宋_GB2312" w:eastAsia="仿宋_GB2312"/>
          <w:sz w:val="32"/>
        </w:rPr>
        <w:t>4.引导社科领域的专家、学者与党同向同行，同心同德，始终坚持学术研究有纪律。</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昌吉回族自治州社会科学界联合会2024年度，实有人数7人，其中：在职人员6人，增加2人；离休人员0人，增加0人；退休人员1人,增加0人。</w:t>
      </w:r>
    </w:p>
    <w:p>
      <w:pPr>
        <w:spacing w:line="580" w:lineRule="exact"/>
        <w:ind w:firstLine="640"/>
        <w:jc w:val="both"/>
      </w:pPr>
      <w:r>
        <w:rPr>
          <w:rFonts w:ascii="仿宋_GB2312" w:hAnsi="仿宋_GB2312" w:eastAsia="仿宋_GB2312"/>
          <w:sz w:val="32"/>
        </w:rPr>
        <w:t>昌吉回族自治州社会科学界联合会无下属预算单位，下设1个科室，分别是：办公室。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2024年度收入总计180.97万元，</w:t>
      </w:r>
      <w:r>
        <w:rPr>
          <w:rFonts w:ascii="仿宋_GB2312" w:hAnsi="仿宋_GB2312" w:eastAsia="仿宋_GB2312"/>
          <w:b w:val="0"/>
          <w:sz w:val="32"/>
        </w:rPr>
        <w:t>其中：本年收入合计176.33万元，使用非财政拨款结余（含专用结余）0.00万元，年初结转和结余4.63万元。</w:t>
      </w:r>
    </w:p>
    <w:p>
      <w:pPr>
        <w:spacing w:line="580" w:lineRule="exact"/>
        <w:ind w:firstLine="640"/>
        <w:jc w:val="both"/>
      </w:pPr>
      <w:r>
        <w:rPr>
          <w:rFonts w:ascii="仿宋_GB2312" w:hAnsi="仿宋_GB2312" w:eastAsia="仿宋_GB2312"/>
          <w:b/>
          <w:sz w:val="32"/>
        </w:rPr>
        <w:t>2024年度支出总计180.97万元，</w:t>
      </w:r>
      <w:r>
        <w:rPr>
          <w:rFonts w:ascii="仿宋_GB2312" w:hAnsi="仿宋_GB2312" w:eastAsia="仿宋_GB2312"/>
          <w:b w:val="0"/>
          <w:sz w:val="32"/>
        </w:rPr>
        <w:t>其中：本年支出合计178.50万元，结余分配0.00万元，年末结转和结余2.47万元。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减少13.71万元，下降7.04%，主要原因是：2024年减少州社科联援疆专项经费项目，导致经费较上年减少。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本年收入176.33万元，</w:t>
      </w:r>
      <w:r>
        <w:rPr>
          <w:rFonts w:ascii="仿宋_GB2312" w:hAnsi="仿宋_GB2312" w:eastAsia="仿宋_GB2312"/>
          <w:b w:val="0"/>
          <w:sz w:val="32"/>
        </w:rPr>
        <w:t>其中：财政拨款收入167.80万元，占95.16%；上级补助收入0.00万元，占0.00%；事业收入0.00万元，占0.00%；经营收入0.00万元，占0.00%；附属单位上缴收入0.00万元，占0.00%；其他收入8.53万元，占4.84%。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本年支出178.50万元，</w:t>
      </w:r>
      <w:r>
        <w:rPr>
          <w:rFonts w:ascii="仿宋_GB2312" w:hAnsi="仿宋_GB2312" w:eastAsia="仿宋_GB2312"/>
          <w:b w:val="0"/>
          <w:sz w:val="32"/>
        </w:rPr>
        <w:t>其中：基本支出113.52万元，占63.60%；项目支出64.98万元，占36.40%；上缴上级支出0.00万元，占0.00%；经营支出0.00万元，占0.00%；对附属单位补助支出0.00万元，占0.00%。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2024年度财政拨款收入总计167.80万元，</w:t>
      </w:r>
      <w:r>
        <w:rPr>
          <w:rFonts w:ascii="仿宋_GB2312" w:hAnsi="仿宋_GB2312" w:eastAsia="仿宋_GB2312"/>
          <w:b w:val="0"/>
          <w:sz w:val="32"/>
        </w:rPr>
        <w:t>其中：年初财政拨款结转和结余0.00万元，本年财政拨款收入167.80万元。</w:t>
      </w:r>
      <w:r>
        <w:rPr>
          <w:rFonts w:ascii="仿宋_GB2312" w:hAnsi="仿宋_GB2312" w:eastAsia="仿宋_GB2312"/>
          <w:b/>
          <w:sz w:val="32"/>
        </w:rPr>
        <w:t>财政拨款支出总计167.80万元，</w:t>
      </w:r>
      <w:r>
        <w:rPr>
          <w:rFonts w:ascii="仿宋_GB2312" w:hAnsi="仿宋_GB2312" w:eastAsia="仿宋_GB2312"/>
          <w:b w:val="0"/>
          <w:sz w:val="32"/>
        </w:rPr>
        <w:t>其中：年末财政拨款结转和结余0.00万元，本年财政拨款支出167.80万元。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增加8.55万元，增长5.37%，主要原因是：本年在职人员增加，在职人员工资调增、社保、公积金基数调增，人员经费增加。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年初预算数141.17万元，决算数167.80万元，预决算差异率18.86%，主要原因是：本年在职人员增加，年中追加人员经费及人员工资、社保、公积金基数调增部分资金，导致预决算存在差异。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2024年度一般公共预算财政拨款支出167.80万元，</w:t>
      </w:r>
      <w:r>
        <w:rPr>
          <w:rFonts w:ascii="仿宋_GB2312" w:hAnsi="仿宋_GB2312" w:eastAsia="仿宋_GB2312"/>
          <w:b w:val="0"/>
          <w:sz w:val="32"/>
        </w:rPr>
        <w:t>占本年支出合计的94.01%。</w:t>
      </w:r>
      <w:r>
        <w:rPr>
          <w:rFonts w:ascii="仿宋_GB2312" w:hAnsi="仿宋_GB2312" w:eastAsia="仿宋_GB2312"/>
          <w:b/>
          <w:sz w:val="32"/>
        </w:rPr>
        <w:t>与上年相比，</w:t>
      </w:r>
      <w:r>
        <w:rPr>
          <w:rFonts w:ascii="仿宋_GB2312" w:hAnsi="仿宋_GB2312" w:eastAsia="仿宋_GB2312"/>
          <w:b w:val="0"/>
          <w:sz w:val="32"/>
        </w:rPr>
        <w:t>增加8.55万元，增长5.37%，主要原因是：本年在职人员增加，在职人员工资调增、社保、公积金基数调增，人员经费增加。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年初预算数141.17万元，决算数167.80万元，预决算差异率18.86%，主要原因是：本年在职人员增加，年中追加人员经费及人员工资、社保、公积金基数调增部分资金，导致预决算存在差异。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1.一般公共服务支出(类)143.50万元,占85.52%。</w:t>
      </w:r>
    </w:p>
    <w:p>
      <w:pPr>
        <w:spacing w:line="580" w:lineRule="exact"/>
        <w:ind w:firstLine="640"/>
        <w:jc w:val="both"/>
      </w:pPr>
      <w:r>
        <w:rPr>
          <w:rFonts w:ascii="仿宋_GB2312" w:hAnsi="仿宋_GB2312" w:eastAsia="仿宋_GB2312"/>
          <w:b w:val="0"/>
          <w:sz w:val="32"/>
        </w:rPr>
        <w:t>2.社会保障和就业支出(类)13.21万元,占7.87%。</w:t>
      </w:r>
    </w:p>
    <w:p>
      <w:pPr>
        <w:spacing w:line="580" w:lineRule="exact"/>
        <w:ind w:firstLine="640"/>
        <w:jc w:val="both"/>
      </w:pPr>
      <w:r>
        <w:rPr>
          <w:rFonts w:ascii="仿宋_GB2312" w:hAnsi="仿宋_GB2312" w:eastAsia="仿宋_GB2312"/>
          <w:b w:val="0"/>
          <w:sz w:val="32"/>
        </w:rPr>
        <w:t>3.卫生健康支出(类)4.45万元,占2.65%。</w:t>
      </w:r>
    </w:p>
    <w:p>
      <w:pPr>
        <w:spacing w:line="580" w:lineRule="exact"/>
        <w:ind w:firstLine="640"/>
        <w:jc w:val="both"/>
      </w:pPr>
      <w:r>
        <w:rPr>
          <w:rFonts w:ascii="仿宋_GB2312" w:hAnsi="仿宋_GB2312" w:eastAsia="仿宋_GB2312"/>
          <w:b w:val="0"/>
          <w:sz w:val="32"/>
        </w:rPr>
        <w:t>4.住房保障支出(类)6.64万元,占3.96%。</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1.一般公共服务支出(类)宣传事务(款)行政运行(项):支出决算数为89.00万元，比上年决算增加14.37万元，增长19.25%,主要原因是：本年新增在职人员，人员经费增加，导致经费较上年有所增加。</w:t>
      </w:r>
    </w:p>
    <w:p>
      <w:pPr>
        <w:spacing w:line="580" w:lineRule="exact"/>
        <w:ind w:firstLine="640"/>
        <w:jc w:val="both"/>
      </w:pPr>
      <w:r>
        <w:rPr>
          <w:rFonts w:ascii="仿宋_GB2312" w:hAnsi="仿宋_GB2312" w:eastAsia="仿宋_GB2312"/>
          <w:b w:val="0"/>
          <w:sz w:val="32"/>
        </w:rPr>
        <w:t>2.一般公共服务支出(类)宣传事务(款)一般行政管理事务(项):支出决算数为50.00万元，比上年决算减少10.00万元，下降16.67%,主要原因是：本年减少哲学社会科学理论研究经费。</w:t>
      </w:r>
    </w:p>
    <w:p>
      <w:pPr>
        <w:spacing w:line="580" w:lineRule="exact"/>
        <w:ind w:firstLine="640"/>
        <w:jc w:val="both"/>
      </w:pPr>
      <w:r>
        <w:rPr>
          <w:rFonts w:ascii="仿宋_GB2312" w:hAnsi="仿宋_GB2312" w:eastAsia="仿宋_GB2312"/>
          <w:b w:val="0"/>
          <w:sz w:val="32"/>
        </w:rPr>
        <w:t>3.一般公共服务支出(类)宣传事务(款)其他宣传事务支出(项):支出决算数为4.50万元，比上年决算增加3.79万元，增长533.80%,主要原因是：本年增加社科联换届经费，导致支出增加。</w:t>
      </w:r>
    </w:p>
    <w:p>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4.社会保障和就业支出(类)行政事业单位养老支出(款)行政单位离退休(项):支出决算数为0.73万元，比上年决算增加0.26万元，增长55.32%,主要原因是：本年增加退休人员基础绩效奖，退休费支出增加。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8.32万元，比上年决算增加0.00万元，增长0.00%,主要原因是：本年机关事业单位基本养老保险缴费支出与上年一致，无变化。</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4.16万元，比上年决算增加0.00万元，增长0.00%,主要原因是：本年机关事业单位职业年金缴费支出与上年保持一致。</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7.卫生健康支出(类)行政事业单位医疗(款)行政单位医疗(项):支出决算数为4.16万元，比上年决算增加0.00万元，增长0.00%,主要原因是：本年行政单位医疗与上年保持一致。</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8.卫生健康支出(类)行政事业单位医疗(款)公务员医疗补助(项):支出决算数为0.26万元，比上年决算增加0.00万元，增长0.00%,主要原因是：本年公务员医疗补助与上年保持一致。</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9.卫生健康支出(类)行政事业单位医疗(款)其他行政事业单位医疗支出(项):支出决算数为0.03万元，比上年决算增加0.00万元，增长0.00%,主要原因是：本年其他行政事业单位医疗支出与上年保持一致。</w:t>
      </w:r>
    </w:p>
    <w:p>
      <w:pPr>
        <w:spacing w:line="580" w:lineRule="exact"/>
        <w:ind w:firstLine="640"/>
        <w:jc w:val="both"/>
      </w:pPr>
      <w:r>
        <w:rPr>
          <w:rFonts w:ascii="仿宋_GB2312" w:hAnsi="仿宋_GB2312" w:eastAsia="仿宋_GB2312"/>
          <w:b w:val="0"/>
          <w:sz w:val="32"/>
        </w:rPr>
        <w:t>10.住房保障支出(类)住房改革支出(款)住房公积金(项):支出决算数为6.64万元，比上年决算增加0.14万元，增长2.15%,主要原因是：本年在职人员增加，住房公积金支出较上年增加。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2024年度一般公共预算财政拨款基本支出113.31万元，其中：</w:t>
      </w:r>
      <w:r>
        <w:rPr>
          <w:rFonts w:ascii="仿宋_GB2312" w:hAnsi="仿宋_GB2312" w:eastAsia="仿宋_GB2312"/>
          <w:b/>
          <w:sz w:val="32"/>
        </w:rPr>
        <w:t>人员经费105.41万元，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公用经费7.89万元，</w:t>
      </w:r>
      <w:r>
        <w:rPr>
          <w:rFonts w:ascii="仿宋_GB2312" w:hAnsi="仿宋_GB2312" w:eastAsia="仿宋_GB2312"/>
          <w:b w:val="0"/>
          <w:sz w:val="32"/>
        </w:rPr>
        <w:t>包括：办公费、邮电费、物业管理费、差旅费、公务接待费、工会经费、福利费、公务用车运行维护费、其他商品和服务支出。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2024年度财政拨款“三公”经费支出2.04万元，</w:t>
      </w:r>
      <w:r>
        <w:rPr>
          <w:rFonts w:ascii="仿宋_GB2312" w:hAnsi="仿宋_GB2312" w:eastAsia="仿宋_GB2312"/>
          <w:b w:val="0"/>
          <w:sz w:val="32"/>
        </w:rPr>
        <w:t>比上年增加0.00万元，增长0.00%，主要原因是：本单位“三公”经费与上年一致无变化。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公务用车购置及运行维护费支出2.00万元，占98.04%，比上年增加0.00万元，增长0.00%，主要原因是：本单位公务用车运行维护费与上年一致无变化。</w:t>
      </w:r>
      <w:r>
        <w:rPr>
          <w:rFonts w:ascii="仿宋_GB2312" w:hAnsi="仿宋_GB2312" w:eastAsia="仿宋_GB2312"/>
          <w:b w:val="0"/>
          <w:sz w:val="32"/>
        </w:rPr>
        <w:t>公务接待费支出0.04万元，占1.96%，比上年增加0.00万元，增长0.00%，主要原因是：本年单位公务接待费与上年一致无变化。</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2.00万元，其中：公务用车购置费0.00万元，公务用车运行维护费2.00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公务接待费0.04万元，开支内容包括接待自治区业务主管部门调研产生的就餐费。单位全年安排的国内公务接待1批次，5人次。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2.04万元，决算数2.04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2.00万元，决算数2.00万元，预决算差异率0.00%，主要原因是：严格按照预算执行，预决算无差异。公务接待费全年预算数0.04万元，决算数0.04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2024年度昌吉回族自治州社会科学界联合会（行政单位和参照公务员法管理事业单位）机关运行经费支出7.89万元，比上年增加0.00万元，增长0.00%，主要原因是：本年机关运行经费支出与上年保持一致。</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2024年度政府采购支出总额19.43万元，其中：政府采购货物支出3.92万元、政府采购工程支出0.00万元、政府采购服务支出15.50万元。</w:t>
      </w:r>
    </w:p>
    <w:p>
      <w:pPr>
        <w:spacing w:line="580" w:lineRule="exact"/>
        <w:ind w:firstLine="640"/>
        <w:jc w:val="both"/>
      </w:pPr>
      <w:r>
        <w:rPr>
          <w:rFonts w:ascii="仿宋_GB2312" w:hAnsi="仿宋_GB2312" w:eastAsia="仿宋_GB2312"/>
          <w:b w:val="0"/>
          <w:sz w:val="32"/>
        </w:rPr>
        <w:t>授予中小企业合同金额19.43万元，占政府采购支出总额的100.00%，其中：授予小微企业合同金额19.43万元，占政府采购支出总额的100.00%。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17.98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180.97万元，实际执行总额178.50万元；预算绩效评价项目6个，全年预算数65.12万元，全年执行数65.12万元。预算绩效管理取得的成效：一是聚焦重点，力求课题精准立项。2024年度昌吉州社科联紧紧围绕区州党委、政府决策部署和中心工作，确定立项课题50余项，力求确立课题围绕州党委、政府中心工作，立意新、立项准。二是认真组织线下活动，及时开展线上宣传。州社科联携手州融媒体中心打响“AI昌吉 理响社科”宣讲品牌，邀请社科智库专家，开展社科普及活动，线上线下同步普及推广，形成宣传热潮，助推社科普及“飞入寻常百姓家”。三是创作传播面广的优质社科宣传精品。主动与昌吉学院、荒野新疆及州融媒体中心对接，再创精品佳作。共同策划《大国重器手艺人》等4部动漫作品，社科普及宣传片1部，讲好美丽新疆昌吉篇章。发现的问题及原因：整体项目预算还不够精确，多个项目目标存在偏差。比如：一是年初预算制作社科普及宣传品20000份，发放给各族干部群众，根据州社科联工作实际与群众需求，实际制作社科普及宣传品2000份，发放给各族干部群众；二是机构运行保障经费将举办文化润疆培训经费20万元纳入预算，实际工作中未申请成功文化润疆培训班，故申请追减了举办文化润疆培训经费20万元；三是年初预算课题研究项目25项，根据州社科联工作实际，实际立项、完成58项。原因分析：本单位工作人员的绩效管理能力和工作水平有待提高，导致预算绩效管理相关工作开展的不够顺利；单位内部机构的预算管理意识不足，未严格按照预算编制的相关制度和要求进行预算编制。下一步改进措施：一是采取多种培训形式对单位财务人员、业务科室人员进行集中培训，进一步树牢绩效观念，提高本单位工作人员的绩效管理能力和工作水平，为预算绩效管理相关工作的顺利开展提供保障。进一步加强单位内部机构的预算管理意识，严格按照预算编制的相关制度和要求进行预算编制，加强单位财务管理，健全单位财务管理制度体系，规范单位财务行为。二是继续加强《中华人民共和国预算法》及《预算法实施条例》的宣传、学习贯彻力度。科学合理编制预算，做好编制前的调查研究和分析工作，进一步提高预算的准确性和科学性，减少预算的随意性。按照“ 量入为出、收支平衡、统筹兼顾，确保重点 ” 的原则，合理安排预算收支，将预算资金尽量落实到具体项目，争取做到每个支出项目都能在预算中有所反映，使预算充分反映以政府为主体的资金收支活动全貌，保证预算的可执行性。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昌吉回族自治州社会科学界联合会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170.67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167.80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167.80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13.17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10.70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170.67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180.97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178.50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2024年，围绕中心服务大局，发挥社科理论优势，围绕习近平新时代中国特色社会主义思想及州党委、政府中心工作，组织专家学者开展理论研究</w:t>
              <w:br/>
              <w:br/>
              <w:t>目标1：保证单位正常业务运行。</w:t>
              <w:br/>
              <w:br/>
              <w:t>目标2：深化习近平新时代中国特色社会主义思想和党的二十大精神研究，建设学术交流公共平台，积极整合社科普及资源，搭建社科普及平台，扩大社科普及覆盖面。</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根据社科联工作计划，围绕重点围绕“党的二十大精神、建设推进中国式现代化新疆实践的典范地州、法治新疆建设、铸牢中华民族共同体意识、实施文化润疆工程、推动我国伊斯兰教中国化方向、推动经济高质量发展、丝绸之路经济带核心区建设、乡村振兴、生态文明建设”共十个方面开展课题研究,2024年课题研究项目58项，评青年学者优秀论文16篇，开展社科普及活动3场，制作社科普及动漫作品4部，社科普及宣传片1部。</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课题研究项目合格率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2024年州社科联工作计划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开展社科普及活动及时率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2024年州社科联工作计划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召开换届大会次数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2024年州社科联工作计划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课题研究项目数量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&gt;=25项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2024年州社科联工作计划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58项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组织开展社会科学普及系列活动数量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2024年州社科联工作计划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组织开展社会科学普及系列活动宣传</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2024年州社科联工作计划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举办青年学者征文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2024年州社科联工作计划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哲学社会科学理论研究经费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州党委宣传部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昌吉回族自治州社会科学界联合会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社科联工作计划，围绕重点围绕“党的二十大精神、建设推进中国式现代化新疆实践的典范地州、法治新疆建设、铸牢中华民族共同体意识、实施文化润疆工程、推动我国伊斯兰教中国化方向、推动经济高质量发展、丝绸之路经济带核心区建设、乡村振兴、生态文明建设”共十个方面开展课题研究,2024年课题研究项目不少于55项，评青年学者优秀论文不少于15篇，为自治州社会稳定和经济发展建言献策。</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围绕重点围绕“党的二十大精神、建设推进中国式现代化新疆实践的典范地州、法治新疆建设、铸牢中华民族共同体意识、实施文化润疆工程、推动我国伊斯兰教中国化方向、推动经济高质量发展、丝绸之路经济带核心区建设、乡村振兴、生态文明建设”共十个方面开展课题研究,2024年课题研究项目58项，评青年学者优秀论文16篇，篇，为自治州社会稳定和经济发展建言献策。</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完成课题研究数量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举办青年学者论坛征文活动次数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课题结题率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2023年11月30日完成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社科理论研究支出资金数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青年学者理论征文资金数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社会科学学科影响力得到提升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州社科联换届经费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昌吉回族自治州社会科学界联合会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昌吉回族自治州社会科学界联合会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顺利召开昌吉州社科联第三次代表大会，促进昌吉州社会科学更好的服务州党委、政府的中心工作。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我单位顺利召开昌吉州社科联第三次代表大会，该项目已完成，印刷资料160份，大会人员出勤率90%，提升了社科工作者干事创业的干劲，促进了昌吉州社会科学更好的服务州党委、政府的中心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召开换届大会次数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印制会议资料数量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换届大会出勤率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大会召开及时率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换届大会会议费成本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换届大会保障经费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使社会科学研究工作正常运转。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得到加强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州社科联追加单位资金预算（自治区动漫节）</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昌吉回族自治州社会科学界联合会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昌吉回族自治州社会科学界联合会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社科联深入贯彻落实新时代中国特色社会主义思想，贯彻落实党的二十大和二十届二中、三中全会精神，紧扣铸牢中华民族共同体意识工作主线，落实落细2024年自治区十件民生实事、开展文化科技惠民活动和文化润疆、培育现代文明工作任务，以动漫为载体，对中华文化符号和新时代新疆故事进行挖掘，精准解读和艺术化呈现，创作出社科普及动漫作品4部，让的创新理论“飞入寻常百姓家”，让中华民族共同体意识扎根各族群众心灵深处。2024年该项目计划完成动漫作品4部，动漫作品合格率100%，动漫作品及时完成，参加自治区动漫节1次，获奖作品至少1部，进一步扩大社会科学普及覆盖面。</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完成，通过该项目的实施，按时间参加自治区动漫节1次，项目完成动漫作品4部，其中3部合格，1部获优秀奖，动漫作品合格率100%，让党的创新理论“飞入寻常百姓家”，让中华民族共同体意识扎根各族群众心灵深处，进一步扩大了社会科学普及覆盖面。</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完成动漫作品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参加新疆动漫节次数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获奖作品数量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动漫作品合格率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动漫作品完成时间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一般动漫作品保障资金数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重点动漫作品保障资金数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有力提升社科普及覆盖面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参与动漫节人员满意度（%）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年初制定满意度指标设置为95%，该项目实施较好，实际满意度为100%，超过预期指标，故产生偏差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机关运行保障经费（单位资金）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昌吉回族自治州社会科学界联合会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昌吉回族自治州社会科学界联合会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通过行政支持工会，组织开展工会活动和职工体检，进一步增强干部队伍凝聚力。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截至目前，该项目已完成，行政支持工会1次，组织职工体检6人次，职工体检率100%，通过该项目的实施，进一步增强了干部队伍凝聚力。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行政支持工会次数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组织体检职工人数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其中大学生志愿者1人辞职，故产生偏差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职工体检率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行政支持工会完成时间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行政支持工会组织体检资金数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重点业务保障资金数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有力提升职工凝聚力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得到加强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达到预期目标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得到加强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96.35分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社科普及工作经费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昌吉回族自治州社会科学界联合会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昌吉回族自治州社会科学界联合会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组织开展社科普及活动不少于3场，制作发放社科普及宣传品不少于4000份，有效提升群众对社会科学的认识。持续深入学习宣传阐释习近平新时代中国特色社会主义思想和党的二十大精神，加强铸牢中华民族共同体意识宣传教育，推动中华优秀传统文化创造性转化、创新性发展，让党的创新理论“飞入寻常百姓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全部完成，通过该项目的实施，印制社科宣传品4000份，宣传品合格率100%，全部向广大干部群众发放；开展社科系列活动3场，开展科普活动及时率100%，其中1部《社科十二时辰》获得全国社科人文之光一等奖。有效提升群众对社会科学的认识。促进了铸牢中华民族共同体意识宣传教育，推动中华优秀传统文化创造性转化、创新性发展，让党的创新理论“飞入寻常百姓家”。</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制作社科普及宣传品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50000份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组织开展社会科学普及系列活动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制作印刷社科普及宣传品合格率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开展社科普及活动完成时间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开展社会科学普及工作资金数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制作社科普及宣传品资金数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组织实施社会科学普及系列活动，进一步提升群众对社会科学的认识组织实施社会科学普及系列活动，进一步提升群众对社会科学的认识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社科理论研究人员服务保障经费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昌吉回族自治州社会科学界联合会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昌吉回族自治州社会科学界联合会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保障社科理论研究服务人员2人，维持本单位运转，有效开展社科理论课题研究和社科普及工作，进一步提升群众对社会科学的认识，社会科学研究工作得到大力支持。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已全部完成，通过该项目的实施，保障了社科理论研究服务人员2人，发放聘用人员工资12次，聘用人员出勤率100%，维持了本单位运转，有效开展社科理论课题研究和社科普及工作，进一步提升群众对社会科学的认识，社会科学研究工作得到大力支持。</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聘用发放人数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聘用发放次数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聘用人员出勤率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发放资金完成时间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聘用人员资金数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其他人员资金数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社科工作得到大力支持，社科普及活动得到增加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使社会科学研究工作正常运转。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开展社会科学普及活动3场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