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昌吉回族自治州社会保险中心2024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贯彻执行国家及区州社会保险法律、法规和政策，拟定全州基金管理办法和经办服务规程并组织实施，研究提出完善社会保险政策的意见；负责区、州统筹的社会保险基金的管理和运营，指导县市级统筹的社会保险基金的经办管理；负责全州社保信息系统的运行管理和网络安全工作；承办州直范围内社会保险登记、个人权益记录、社会保险费用征收及待遇审核和支付等经办服务工作；提供社会保险咨询、档案查询和社会化管理等公共服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昌吉回族自治州社会保险中心2024年度，实有人数94人，其中：在职人员53人，减少6人；离休人员0人，增加0人；退休人员41人,增加6人。</w:t>
      </w:r>
    </w:p>
    <w:p>
      <w:pPr>
        <w:spacing w:line="580" w:lineRule="exact"/>
        <w:ind w:firstLine="640"/>
        <w:jc w:val="both"/>
      </w:pPr>
      <w:r>
        <w:rPr>
          <w:rFonts w:ascii="仿宋_GB2312" w:hAnsi="仿宋_GB2312" w:eastAsia="仿宋_GB2312"/>
          <w:sz w:val="32"/>
        </w:rPr>
        <w:t>昌吉回族自治州社会保险中心无下属预算单位，下设11个科室，分别是：办公室(组织人事科)、行风建设和宣教科、综合业务科（社会化管理科）、社会保险登记和关系转移科、养老待遇审核科、工伤失业待遇审核科、业务复核科、基金管理科、数据管理科、稽核风控科、档案管理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2024年度收入总计1,836.74万元，</w:t>
      </w:r>
      <w:r>
        <w:rPr>
          <w:rFonts w:ascii="仿宋_GB2312" w:hAnsi="仿宋_GB2312" w:eastAsia="仿宋_GB2312"/>
          <w:b w:val="0"/>
          <w:sz w:val="32"/>
        </w:rPr>
        <w:t>其中：本年收入合计1,836.74万元，使用非财政拨款结余（含专用结余）0.00万元，年初结转和结余0.00万元。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2024年度支出总计1,836.74万元，</w:t>
      </w:r>
      <w:r>
        <w:rPr>
          <w:rFonts w:ascii="仿宋_GB2312" w:hAnsi="仿宋_GB2312" w:eastAsia="仿宋_GB2312"/>
          <w:b w:val="0"/>
          <w:sz w:val="32"/>
        </w:rPr>
        <w:t>其中：本年支出合计1,813.31万元，结余分配0.00万元，年末结转和结余23.43万元。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30.34万元，下降1.62%，主要原因是：本年减少福建援疆资金（机构运行经费）；本年减少2023年为民办实事工作经费、社会保险基层服务平台领取待遇资格确认工作经费、关于提前下达2023年自治区财政社保经办机构业务补助经费的通知、社会保险档案管理工作经费等项目经费。</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本年收入1,836.74万元，</w:t>
      </w:r>
      <w:r>
        <w:rPr>
          <w:rFonts w:ascii="仿宋_GB2312" w:hAnsi="仿宋_GB2312" w:eastAsia="仿宋_GB2312"/>
          <w:b w:val="0"/>
          <w:sz w:val="32"/>
        </w:rPr>
        <w:t>其中：财政拨款收入1,762.85万元，占95.98%；上级补助收入0.00万元，占0.00%；事业收入0.00万元，占0.00%；经营收入0.00万元，占0.00%；附属单位上缴收入0.00万元，占0.00%；其他收入73.89万元，占4.02%。</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本年支出1,813.31万元，</w:t>
      </w:r>
      <w:r>
        <w:rPr>
          <w:rFonts w:ascii="仿宋_GB2312" w:hAnsi="仿宋_GB2312" w:eastAsia="仿宋_GB2312"/>
          <w:b w:val="0"/>
          <w:sz w:val="32"/>
        </w:rPr>
        <w:t>其中：基本支出1,315.27万元，占72.53%；项目支出498.04万元，占27.47%；上缴上级支出0.00万元，占0.00%；经营支出0.00万元，占0.00%；对附属单位补助支出0.00万元，占0.00%。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2024年度财政拨款收入总计1,762.85万元，</w:t>
      </w:r>
      <w:r>
        <w:rPr>
          <w:rFonts w:ascii="仿宋_GB2312" w:hAnsi="仿宋_GB2312" w:eastAsia="仿宋_GB2312"/>
          <w:b w:val="0"/>
          <w:sz w:val="32"/>
        </w:rPr>
        <w:t>其中：年初财政拨款结转和结余0.00万元，本年财政拨款收入1,762.85万元。</w:t>
      </w:r>
      <w:r>
        <w:rPr>
          <w:rFonts w:ascii="仿宋_GB2312" w:hAnsi="仿宋_GB2312" w:eastAsia="仿宋_GB2312"/>
          <w:b/>
          <w:sz w:val="32"/>
        </w:rPr>
        <w:t>财政拨款支出总计1,762.85万元，</w:t>
      </w:r>
      <w:r>
        <w:rPr>
          <w:rFonts w:ascii="仿宋_GB2312" w:hAnsi="仿宋_GB2312" w:eastAsia="仿宋_GB2312"/>
          <w:b w:val="0"/>
          <w:sz w:val="32"/>
        </w:rPr>
        <w:t>其中：年末财政拨款结转和结余0.00万元，本年财政拨款支出1,762.85万元。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增加35.59万元，增长2.06%，主要原因是：本年在职人员工资调增，社保、公积金基数调增，人员经费增加。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年初预算数1,623.00万元，决算数1,762.85万元，预决算差异率8.62%，主要原因是：年中追加人员工资、社保、公积金基数调增部分资金，年中追加信息化替代设备经费，导致预决算存在差异。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2024年度一般公共预算财政拨款支出1,762.85万元，</w:t>
      </w:r>
      <w:r>
        <w:rPr>
          <w:rFonts w:ascii="仿宋_GB2312" w:hAnsi="仿宋_GB2312" w:eastAsia="仿宋_GB2312"/>
          <w:b w:val="0"/>
          <w:sz w:val="32"/>
        </w:rPr>
        <w:t>占本年支出合计的97.22%。</w:t>
      </w:r>
      <w:r>
        <w:rPr>
          <w:rFonts w:ascii="仿宋_GB2312" w:hAnsi="仿宋_GB2312" w:eastAsia="仿宋_GB2312"/>
          <w:b/>
          <w:sz w:val="32"/>
        </w:rPr>
        <w:t>与上年相比，</w:t>
      </w:r>
      <w:r>
        <w:rPr>
          <w:rFonts w:ascii="仿宋_GB2312" w:hAnsi="仿宋_GB2312" w:eastAsia="仿宋_GB2312"/>
          <w:b w:val="0"/>
          <w:sz w:val="32"/>
        </w:rPr>
        <w:t>增加35.59万元，增长2.06%，主要原因是：本年在职人员工资调增，社保、公积金基数调增，人员经费增加。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年初预算数1,623.00万元，决算数1,762.85万元，预决算差异率8.62%，主要原因是：年中追加人员工资、社保、公积金基数调增部分资金，年中追加信息化替代设备经费，导致预决算存在差异。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1.一般公共服务支出(类)2.79万元,占0.16%。</w:t>
      </w:r>
    </w:p>
    <w:p>
      <w:pPr>
        <w:spacing w:line="580" w:lineRule="exact"/>
        <w:ind w:firstLine="640"/>
        <w:jc w:val="both"/>
      </w:pPr>
      <w:r>
        <w:rPr>
          <w:rFonts w:ascii="仿宋_GB2312" w:hAnsi="仿宋_GB2312" w:eastAsia="仿宋_GB2312"/>
          <w:b w:val="0"/>
          <w:sz w:val="32"/>
        </w:rPr>
        <w:t>2.社会保障和就业支出(类)1,620.58万元,占91.93%。</w:t>
      </w:r>
    </w:p>
    <w:p>
      <w:pPr>
        <w:spacing w:line="580" w:lineRule="exact"/>
        <w:ind w:firstLine="640"/>
        <w:jc w:val="both"/>
      </w:pPr>
      <w:r>
        <w:rPr>
          <w:rFonts w:ascii="仿宋_GB2312" w:hAnsi="仿宋_GB2312" w:eastAsia="仿宋_GB2312"/>
          <w:b w:val="0"/>
          <w:sz w:val="32"/>
        </w:rPr>
        <w:t>3.卫生健康支出(类)54.58万元,占3.10%。</w:t>
      </w:r>
    </w:p>
    <w:p>
      <w:pPr>
        <w:spacing w:line="580" w:lineRule="exact"/>
        <w:ind w:firstLine="640"/>
        <w:jc w:val="both"/>
      </w:pPr>
      <w:r>
        <w:rPr>
          <w:rFonts w:ascii="仿宋_GB2312" w:hAnsi="仿宋_GB2312" w:eastAsia="仿宋_GB2312"/>
          <w:b w:val="0"/>
          <w:sz w:val="32"/>
        </w:rPr>
        <w:t>4.住房保障支出(类)81.27万元,占4.61%。</w:t>
      </w:r>
    </w:p>
    <w:p>
      <w:pPr>
        <w:spacing w:line="580" w:lineRule="exact"/>
        <w:ind w:firstLine="640"/>
        <w:jc w:val="both"/>
      </w:pPr>
      <w:r>
        <w:rPr>
          <w:rFonts w:ascii="仿宋_GB2312" w:hAnsi="仿宋_GB2312" w:eastAsia="仿宋_GB2312"/>
          <w:b w:val="0"/>
          <w:sz w:val="32"/>
        </w:rPr>
        <w:t>5.其他支出(类)3.64万元,占0.21%。</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1.一般公共服务支出(类)财政事务(款)信息化建设(项):支出决算数为2.79万元，比上年决算增加2.79万元，增长100.00%,主要原因是：本年度增加信息化替代设备经费。</w:t>
      </w:r>
    </w:p>
    <w:p>
      <w:pPr>
        <w:spacing w:line="580" w:lineRule="exact"/>
        <w:ind w:firstLine="640"/>
        <w:jc w:val="both"/>
      </w:pPr>
      <w:r>
        <w:rPr>
          <w:rFonts w:ascii="仿宋_GB2312" w:hAnsi="仿宋_GB2312" w:eastAsia="仿宋_GB2312"/>
          <w:b w:val="0"/>
          <w:sz w:val="32"/>
        </w:rPr>
        <w:t>2.一般公共服务支出(类)统战事务(款)宗教事务(项):支出决算数为0.00万元，比上年决算减少1.26万元，下降100.00%,主要原因是：本年未安排驻村管寺人员生活补贴。</w:t>
      </w:r>
    </w:p>
    <w:p>
      <w:pPr>
        <w:spacing w:line="580" w:lineRule="exact"/>
        <w:ind w:firstLine="640"/>
        <w:jc w:val="both"/>
      </w:pPr>
      <w:r>
        <w:rPr>
          <w:rFonts w:ascii="仿宋_GB2312" w:hAnsi="仿宋_GB2312" w:eastAsia="仿宋_GB2312"/>
          <w:b w:val="0"/>
          <w:sz w:val="32"/>
        </w:rPr>
        <w:t>3.社会保障和就业支出(类)人力资源和社会保障管理事务(款)行政运行(项):支出决算数为885.84万元，比上年决算增加29.81万元，增长3.48%,主要原因是：本年在职人员工资调增，导致相关人员经费较上年有所增加。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4.社会保障和就业支出(类)人力资源和社会保障管理事务(款)信息化建设(项):支出决算数为83.06万元，比上年决算减少2.80万元，下降3.26%,主要原因是：本年度“金保工程”系统运行电力保障、网络线路租用等费用项目中社保专网线路减少，该项目资金减少。</w:t>
      </w:r>
    </w:p>
    <w:p>
      <w:pPr>
        <w:spacing w:line="580" w:lineRule="exact"/>
        <w:ind w:firstLine="640"/>
        <w:jc w:val="both"/>
      </w:pPr>
      <w:r>
        <w:rPr>
          <w:rFonts w:ascii="仿宋_GB2312" w:hAnsi="仿宋_GB2312" w:eastAsia="仿宋_GB2312"/>
          <w:b w:val="0"/>
          <w:sz w:val="32"/>
        </w:rPr>
        <w:t>5.社会保障和就业支出(类)人力资源和社会保障管理事务(款)社会保险经办机构(项):支出决算数为151.21万元，比上年决算减少71.26万元，下降32.03%,主要原因是：本年度减少2023年为民办实事工作经费、社会保险基层服务平台领取待遇资格确认工作经费、关于提前下达2023年自治区财政社保经办机构业务补助经费的通知、社会保险档案管理工作经费等项目经费。</w:t>
      </w:r>
    </w:p>
    <w:p>
      <w:pPr>
        <w:spacing w:line="580" w:lineRule="exact"/>
        <w:ind w:firstLine="640"/>
        <w:jc w:val="both"/>
      </w:pPr>
      <w:r>
        <w:rPr>
          <w:rFonts w:ascii="仿宋_GB2312" w:hAnsi="仿宋_GB2312" w:eastAsia="仿宋_GB2312"/>
          <w:b w:val="0"/>
          <w:sz w:val="32"/>
        </w:rPr>
        <w:t>6.社会保障和就业支出(类)行政事业单位养老支出(款)行政单位离退休(项):支出决算数为22.95万元，比上年决算减少28.34万元，下降55.25%,主要原因是：本年未补发退休人员基础绩效，导致退休费较上年减少。</w:t>
      </w:r>
    </w:p>
    <w:p>
      <w:pPr>
        <w:spacing w:line="580" w:lineRule="exact"/>
        <w:ind w:firstLine="640"/>
        <w:jc w:val="both"/>
      </w:pPr>
      <w:r>
        <w:rPr>
          <w:rFonts w:ascii="仿宋_GB2312" w:hAnsi="仿宋_GB2312" w:eastAsia="仿宋_GB2312"/>
          <w:b w:val="0"/>
          <w:sz w:val="32"/>
        </w:rPr>
        <w:t>7.社会保障和就业支出(类)行政事业单位养老支出(款)机关事业单位基本养老保险缴费支出(项):支出决算数为101.91万元，比上年决算增加2.02万元，增长2.02%,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8.社会保障和就业支出(类)行政事业单位养老支出(款)机关事业单位职业年金缴费支出(项):支出决算数为105.97万元，比上年决算增加48.92万元，增长85.75%,主要原因是：本年新增退休人员，职业年金缴费支出增加。</w:t>
      </w:r>
    </w:p>
    <w:p>
      <w:pPr>
        <w:spacing w:line="580" w:lineRule="exact"/>
        <w:ind w:firstLine="640"/>
        <w:jc w:val="both"/>
      </w:pPr>
      <w:r>
        <w:rPr>
          <w:rFonts w:ascii="仿宋_GB2312" w:hAnsi="仿宋_GB2312" w:eastAsia="仿宋_GB2312"/>
          <w:b w:val="0"/>
          <w:sz w:val="32"/>
        </w:rPr>
        <w:t>9.社会保障和就业支出(类)企业改革补助(款)其他企业改革发展补助(项):支出决算数为80.69万元，比上年决算增加57.57万元，增长249.01%,主要原因是：本年增加州宾馆退休人员独生子女费、采暖费。</w:t>
      </w:r>
    </w:p>
    <w:p>
      <w:pPr>
        <w:spacing w:line="580" w:lineRule="exact"/>
        <w:ind w:firstLine="640"/>
        <w:jc w:val="both"/>
      </w:pPr>
      <w:r>
        <w:rPr>
          <w:rFonts w:ascii="仿宋_GB2312" w:hAnsi="仿宋_GB2312" w:eastAsia="仿宋_GB2312"/>
          <w:b w:val="0"/>
          <w:sz w:val="32"/>
        </w:rPr>
        <w:t>10.社会保障和就业支出(类)其他生活救助(款)其他城市生活救助(项):支出决算数为188.97万元，比上年决算减少11.00万元，下降5.50%,主要原因是：95年以前企业退休人员、 州直破产企业退休职工死亡，人员减少，相关人员补助减少。</w:t>
      </w:r>
    </w:p>
    <w:p>
      <w:pPr>
        <w:spacing w:line="580" w:lineRule="exact"/>
        <w:ind w:firstLine="640"/>
        <w:jc w:val="both"/>
      </w:pPr>
      <w:r>
        <w:rPr>
          <w:rFonts w:ascii="仿宋_GB2312" w:hAnsi="仿宋_GB2312" w:eastAsia="仿宋_GB2312"/>
          <w:b w:val="0"/>
          <w:sz w:val="32"/>
        </w:rPr>
        <w:t>11.卫生健康支出(类)行政事业单位医疗(款)行政单位医疗(项):支出决算数为50.95万元，比上年决算增加21.71万元，增长74.25%,主要原因是：本年在职人员工资基数调增，医疗缴费基数上涨，相应支出增加。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12.卫生健康支出(类)行政事业单位医疗(款)公务员医疗补助(项):支出决算数为3.18万元，比上年决算增加3.18万元，增长100.00%,主要原因是：本年功能科目调整，公务员医疗补助上年度在行政单位医疗科目列支，本年单独列支，导致经费较上年增加。</w:t>
      </w:r>
    </w:p>
    <w:p>
      <w:pPr>
        <w:spacing w:line="580" w:lineRule="exact"/>
        <w:ind w:firstLine="640"/>
        <w:jc w:val="both"/>
      </w:pPr>
      <w:r>
        <w:rPr>
          <w:rFonts w:ascii="仿宋_GB2312" w:hAnsi="仿宋_GB2312" w:eastAsia="仿宋_GB2312"/>
          <w:b w:val="0"/>
          <w:sz w:val="32"/>
        </w:rPr>
        <w:t>13.卫生健康支出(类)行政事业单位医疗(款)其他行政事业单位医疗支出(项):支出决算数为0.44万元，比上年决算减少0.08万元，下降15.38%,主要原因是：本年在职人员减少，其他行政事业单位医疗支出较上年减少。</w:t>
      </w:r>
    </w:p>
    <w:p>
      <w:pPr>
        <w:spacing w:line="580" w:lineRule="exact"/>
        <w:ind w:firstLine="640"/>
        <w:jc w:val="both"/>
      </w:pPr>
      <w:r>
        <w:rPr>
          <w:rFonts w:ascii="仿宋_GB2312" w:hAnsi="仿宋_GB2312" w:eastAsia="仿宋_GB2312"/>
          <w:b w:val="0"/>
          <w:sz w:val="32"/>
        </w:rPr>
        <w:t>14.住房保障支出(类)住房改革支出(款)住房公积金(项):支出决算数为81.27万元，比上年决算增加2.43万元，增长3.08%,主要原因是：本年在职人员工资基数调增，公积金缴费基数上涨，相应支出增加。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15.其他支出(类)其他支出(款)其他支出(项):支出决算数为3.64万元，比上年决算减少18.07万元，下降83.23%,主要原因是：本年驻村人员减少，为民办实事经费较上年减少。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2024年度一般公共预算财政拨款基本支出1,315.27万元，其中：</w:t>
      </w:r>
      <w:r>
        <w:rPr>
          <w:rFonts w:ascii="仿宋_GB2312" w:hAnsi="仿宋_GB2312" w:eastAsia="仿宋_GB2312"/>
          <w:b/>
          <w:sz w:val="32"/>
        </w:rPr>
        <w:t>人员经费1,220.14万元，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退休费、生活补助、奖励金、其他对个人和家庭的补助。</w:t>
      </w:r>
    </w:p>
    <w:p>
      <w:pPr>
        <w:spacing w:line="580" w:lineRule="exact"/>
        <w:ind w:firstLine="640"/>
        <w:jc w:val="both"/>
      </w:pPr>
      <w:r>
        <w:rPr>
          <w:rFonts w:ascii="仿宋_GB2312" w:hAnsi="仿宋_GB2312" w:eastAsia="仿宋_GB2312"/>
          <w:b/>
          <w:sz w:val="32"/>
        </w:rPr>
        <w:t>公用经费95.13万元，</w:t>
      </w:r>
      <w:r>
        <w:rPr>
          <w:rFonts w:ascii="仿宋_GB2312" w:hAnsi="仿宋_GB2312" w:eastAsia="仿宋_GB2312"/>
          <w:b w:val="0"/>
          <w:sz w:val="32"/>
        </w:rPr>
        <w:t>包括：办公费、水费、邮电费、差旅费、维修（护）费、公务接待费、劳务费、工会经费、福利费、公务用车运行维护费、其他交通费用、其他商品和服务支出。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2024年度财政拨款“三公”经费支出10.91万元，</w:t>
      </w:r>
      <w:r>
        <w:rPr>
          <w:rFonts w:ascii="仿宋_GB2312" w:hAnsi="仿宋_GB2312" w:eastAsia="仿宋_GB2312"/>
          <w:b w:val="0"/>
          <w:sz w:val="32"/>
        </w:rPr>
        <w:t>比上年增加3.39万元，增长45.08%，主要原因是：本年因业务需求，用车次数增加，燃油费增加，导致公务用车运行维护费较上年增加。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公务用车购置及运行维护费支出10.49万元，占96.15%，比上年增加3.50万元，增长50.07%，主要原因是：本年因业务需求，用车次数增加，燃油费增加，导致公务用车运行维护费较上年增加。</w:t>
      </w:r>
      <w:r>
        <w:rPr>
          <w:rFonts w:ascii="仿宋_GB2312" w:hAnsi="仿宋_GB2312" w:eastAsia="仿宋_GB2312"/>
          <w:b w:val="0"/>
          <w:sz w:val="32"/>
        </w:rPr>
        <w:t>公务接待费支出0.42万元，占3.85%，比上年减少0.11万元，下降20.75%，主要原因是：严格落实中央八项规定精神，厉行节约，减少公务接待费。</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10.49万元，其中：公务用车购置费0.00万元，公务用车运行维护费10.49万元。公务用车运行维护费开支内容包括车辆加油费、维修费、保险费、审车费、过路费等。公务用车购置数0辆，公务用车保有量2辆。国有资产占用情况中固定资产车辆2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公务接待费0.42万元，开支内容包括因兵地通办，接待石河子社保中心人员签订协议，产生的就餐费。单位全年安排的国内公务接待4批次，35人次。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10.91万元，决算数10.91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10.49万元，决算数10.49万元，预决算差异率0.00%，主要原因是：严格按照预算执行，预决算无差异。公务接待费全年预算数0.42万元，决算数0.42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社会保险中心（行政单位和参照公务员法管理事业单位）机关运行经费支出95.13万元，比上年增加5.12万元，增长5.69%，主要原因是：本年更新、维护补充办公用品，导致机关运行经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2024年度政府采购支出总额32.04万元，其中：政府采购货物支出6.54万元、政府采购工程支出0.00万元、政府采购服务支出25.49万元。</w:t>
      </w:r>
    </w:p>
    <w:p>
      <w:pPr>
        <w:spacing w:line="580" w:lineRule="exact"/>
        <w:ind w:firstLine="640"/>
        <w:jc w:val="both"/>
      </w:pPr>
      <w:r>
        <w:rPr>
          <w:rFonts w:ascii="仿宋_GB2312" w:hAnsi="仿宋_GB2312" w:eastAsia="仿宋_GB2312"/>
          <w:b w:val="0"/>
          <w:sz w:val="32"/>
        </w:rPr>
        <w:t>授予中小企业合同金额32.04万元，占政府采购支出总额的100.00%，其中：授予小微企业合同金额32.04万元，占政府采购支出总额的100.00%。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14,129.78平方米，价值280.58万元。车辆2辆，价值59.12万元，其中：副部（省）级及以上领导用车0辆、主要负责人用车0辆、机要通信用车0辆、应急保障用车0辆、执法执勤用车0辆、特种专业技术用车0辆、离退休干部服务用车0辆、其他用车2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1,836.74万元，实际执行总额1,813.31万元；预算绩效评价项目15个，全年预算数474.70万元，全年执行数469.24万元。预算绩效管理取得的成效：（一）持续深化重大制度改革，增强社会保障可持续性。加快构建一、二、三支柱协调发展的多层次养老保险体系，推进个人养老金制度全面实施，联合7家银行开展抖音联播宣传，发送宣传短信1.26万条，共开户10.08万人，缴存资金2954.18万元。稳妥有序做好渐进式延迟法定退休年龄改革的宣传解读、经办服务工作，接待线上线下咨询2.5万人次。（二）积极推动高质量参保，增强社会保障可及性。实施高质量社保扩面专项行动，加强跨部门数据共享，筛查疑似未参保数据35万条。与劳动监察部门协同开展劳动年审工作和参保扩面登记。开展机关事业单位编外聘用人员参保情况核查，督促用人单位对4190名疑似未缴费人员开展核查和补费工作。（三）健全基金监管体系，增强社会保障安全性。全面落实基金收支分级授权制度和审批制度，加强社保基金银行账户管理，增设银行短信提醒功能。实施社保基金巩固提升“强基固本”阶段行动，不断完善“四位一体”风险防控体系和“四防协同”工作机制。与法院、检察院、司法、卫健、民政等部门建立数据共享机制，核查各类数据7797条，追回违规资金234.48万元，实现追缴比例全疆最高，疑点数据全疆最少。发现的问题及原因：一是参保率低：特别是对于灵活就业人员、小微企业员工和农村劳动力，他们可能对社会保险的认识不足，或者因为经济负担而不愿意或无法参保；二是保险待遇申领复杂：参保人员在申请保险待遇时，可能会遇到程序繁琐、审批时间长等问题；三是参保覆盖不足：尽管昌吉州的基本养老保险参保率保持在95%以上，但仍有部分人群尚未纳入保险体系，特别是中小微企业员工、新业态从业人员、灵活就业人员等群体的参保工作需要进一步加强；四是信息覆盖不全面：可能无法覆盖到所有需要服务的群体，特别是老年人或者不常使用社交媒体的人群；五是互动性不足：单向的信息推送可能导致互动性不足，公众提问得不到及时回应。下一步改进措施：一是加强宣传教育：通过多种渠道提高公众对社会保险重要性的认识，尤其是对灵活就业人员和农村劳动力进行针对性宣传；二是简化参保流程：优化参保流程，降低参保门槛，使得更多人能够轻松加入社会保险体系；三是增强信息透明度：建立完善的社会保险信息系统，让参保人员能够方便地查询自己的保险信息；四是扩大信息覆盖：通过多种渠道发布信息，包括社交媒体、电视广告、报纸、社区公告等，确保信息能够覆盖到更多人群；五是加强互动：通过设置在线问答、实时留言回复等功能，增强与群众的互动交流；六是提高内容质量：确保发布的内容准确无误，语言通俗易懂，方便公众理解。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昌吉回族自治州社会保险中心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98.72%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9.87</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1,623.00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1,762.85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1,762.85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73.89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50.46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1,703.00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1,836.74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1,813.31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按照《2024年昌吉回族自治州人民政府工作报告》，提高社会保障水平，健全多层次社会保障体系，不断扩大参保覆盖面，基本养老保险和医疗保险参保率均保持在95%以上。确保各项社保待遇按时足额发放，及时落实社保待遇调整，兜牢社保待遇领取人员的基本民生底线。推动失业保险待遇应发尽发。持续提升精细化管理程度和服务水平。稳步推进机关事业单位养老保险制度原试点个人缴费本息划转工作；做好各项社保待遇调整和发放工作;完成年度扩面任务;完善风险防控制度建设.强化业务风险管控,大力开展数据稽核;推进社保经办管理服务标准化、规范化、便利化；推进社保政策宣传体系建设。</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1836.74万元，全年执行数为1813.31万元，总预算执行率为98.87%。2024年我单位完成以下工作内容：1.全州养老保险参保人数共计86.6万人，失业参保人数共计25.76万人，工伤参保人数为31.92万人，基本养老参保率达到95%；2.宣传工作有序推进，全年微信公众号推送200期，抖音视频推送280期；3.年末电子社保签发率达到83.77%。通过以上工作的实施，扩大了社会保险政策宣传范围，提高了社会保障服务水平。</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全州失业参保人数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&gt;=24.95万人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2024年昌吉州社会保险经办管理服务工作要点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25.76万人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全州工伤参保人数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&gt;=34.19万人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2024年昌吉州社会保险经办管理服务工作要点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31.92万人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全年微信公众号推送</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&gt;=200期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2024年昌吉州社会保险经办管理服务工作要点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200期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抖音平台推送</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&gt;=240期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2024年昌吉州社会保险经办管理服务工作要点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280期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电子社保卡签发率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2024年昌吉州社会保险经办管理服务工作要点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83.77%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全州基本养老保险参保人数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&gt;=83万人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2024年昌吉州社会保险经办管理服务工作要点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86.6万人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基本养老保险参保率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2024年昌吉州社会保险经办管理服务工作要点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95年以前退休人员生活费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昌吉回族自治州社会保险中心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昌吉回族自治州社会保险中心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127.44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120.37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120.37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127.44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120.37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120.37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依据自治区《关于对参加自治区城镇企业职工基本养老保险社会统筹的有关退休人员实施生活补贴的通知》（新政办发〔2010〕168号）。保证州直企业退休人员生活补助发放工作，补助标准：1440元/人/年，退休人员生活质量有所提高，使退休职工切实感受到党和国家的惠民政策和关心关爱。</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截至2024年12月31日，该项目实际完成州直企业退休人756人生活补助发放工作，按月及时发放，补助标准：1440元/人/年。通过该项目的实施，提升了退休人员生活质量，促进了社会和谐稳定。</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核定1995年以前企业退休人数（人）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85.42%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6.36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2024年有死亡人员和未做社保待遇资格认证停发待遇人员，实际人数减少。</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资金发放到位率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全年补助发放率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生活费补助资金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&lt;=120.37万元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生活补贴标准（元）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=1440元/人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=1440元/人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落实1995年以前退休人员生活费补贴政策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96.36分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“金保工程”系统维护费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昌吉回族自治州社会保险中心本级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昌吉回族自治州社会保险中心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对社会保险信息系统硬件维护、网络维护、系统维护及相关的电子设备采购，年巡检维护次数每年不少于4次，保障社会保险网络系统设备正常运转、传输。</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检查维护次数达到4次，故障排查率达到100%，使“金保工程”系统正常使用，项目资金已支付63.14万元。通过该项目的实施，提升了社会保险网络系统的稳定性，促进了社会保障业务的办理效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年巡检维护数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故障排除率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社会保险信息系统网络运行维护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社会保险信息系统数据中心机房托管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&lt;=16.95万元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=16.95万元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办公计算机等电子设备维护购置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&lt;=5.85万元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=5.85万元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社保业务电子影像化信息系统二级等保测评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&lt;=5.68万元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社保自助服务机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&lt;=10.66万元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办公计算机、打印机等电子设备维护保养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历史档案影像数据迁移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保障社会保险业务经办正常运行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设备使用者满意率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“金保工程”系统运行电力保障、网络线路租用等费用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昌吉回族自治州社会保险中心本级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昌吉回族自治州社会保险中心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负债全州社会保险信息系统的运行管理和网络安全工作，保障社会保险网络线路正常运转。《新疆维吾尔自治区人力资源和社会保障信息化“十三五”发展规划》规定，以建立社会保险全覆盖体系为目标，加快实施全民参保计划，保障社会保险网络线路正常运转。</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检查维护12次，故障排查率达到100%，网络安全性100%，网络线路质量性100%，使“金保工程”系统正常使用，项目资金已支付19.91万元。通过该项目的实施，提升了社保业务经办效率，促进了社会保险网络系统设备正常运转。</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年均维护次数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故障排除率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网络安全性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网络线路质量性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系统运行电力保障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为响应节约号召，用电量减少。</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州社保局到各县市社保局社保专网费用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保障社会保险业务经办正常运行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个人权益告知、经办业务通知通信等费用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昌吉回族自治州社会保险中心本级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昌吉回族自治州社会保险中心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发送短信对昌吉州本级参加养老保险的企业、机关、灵活就业人员进行经办业务及权益告知。全年发送短信条数595万条以上，全年发送短信次数168次以上，加快实施全民参保计划，社保经办机构应当及时、完整、正确地记录参加社会保险的个人缴费和用人单位为其缴费，以及享受社保待遇等权益记录。使参保人员人的获得感、安全感不断增强。</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全年发送短信135次，共计发送506.41万条，社会保险经办业务告知险种3项，社保政策及时通知到位，共支付个人权益告知、经办业务通知通信等费用21万元。通过该项目的实施，提升了社会保险水平，促进了社保待遇等权益的完善。</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全年发送短信条数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&gt;=500万条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=506.41万条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101.28%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320万条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社保宣传到位，参保群众增加，发送短信人数增加。</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全年发送短信次数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&gt;=160次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84.38%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2024年社保相关政策落实到位，相关提醒类短信减少。</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社会保险经办业务告知险种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个人权益及业务通知覆盖率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短信发送准确性提高，所有参保人员都能通知到位。</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社会保险政策通知及时率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政策变动和业务提醒都能及时发送短信通知提醒。</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社会保险参保登记告知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社保政策宣传短信发送到位，群众参保意识提高。</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个人权益告知、经办业务通知通信费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提升社会保险政策知晓率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短信发送准确性提高，所有参保人员都能通知到位。</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94.29分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关于提前下达1995年前退休（退职）人员 2024年4月-2025年3月生活补贴资金预算的通知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昌吉回族自治州社会保险中心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昌吉回族自治州社会保险中心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15.41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14.51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94.16%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15.41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14.51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保障国有企业办中小学、职教幼教和医院退休教师同当地政府同类机构人员同等生活待遇，具体包括：取暖费、医疗保险单位缴费部分补差、津补贴、活动经费、养老金补差。</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104位自治区企业2023年4月-2024年3月1995年前退休（退职）人员每人每年1440元生活补贴财政补助资金足额及时发放工作，通过该项目的实施，提升了1995年前退休（退职）人员生活待遇，促进了社会稳定和谐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保障企业1995年以前退休（退职）补助人数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资金足额发放率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补助资金发放及时率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生活补贴发放标准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=1440元/人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=1440元/人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120元/月/人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生活费补助资金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&lt;=15.41万元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=14.51万元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97.84%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企业1995年以前退休（退职）补助人数中实际发放人员存在死亡情况，实际发放金额减少。</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保障国有企业1995年前退休人员待遇水平提高，维护社会稳定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及时足额发放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及时足额发放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1995年12月31日前退休人员满意度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1995年12月31日前退休人员满意度设置指标比较保守，所以出现一定的偏差。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关于提前下达2024年国有企业办职教幼教退休教师生活待遇中央财政补助资金预算的通知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昌吉回族自治州社会保险中心本级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昌吉回族自治州社会保险中心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9.41</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保障国有企业办中小学、职教幼教退休教师同当地政府同类机构人员同等生活待遇。退休人员生活质量有所提高，使退休职工切实感受到党和国家的惠民政策和关心关爱。</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保障国有企业办职教幼教生活待遇补贴资金60人，资金发放完成率100%。通过该项目的实施，提升了保障了国有企业办中小学、职教幼教退休教师同当地政府同类机构人员同等生活待遇，促进了社会和谐稳定。</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保障国有企业办职教幼教生活待遇补贴资金人数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92.31%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截止发放日期，有死亡人员，人数减少。</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补助资金发放完成率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补助资金发放时效性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人员核定后及时发放。</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生活费补助资金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&lt;=7.22万元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截止发放日期，有死亡人员，人数减少，实际支付资金减少。</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采暖费发放标准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提升职教幼教退休人员生活质量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落实国有企业办职教幼教生活待遇补贴政策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96.12分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州直破产企业退休职工采暖费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昌吉回族自治州社会保险中心本级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昌吉回族自治州社会保险中心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71.79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71.79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依据《关于进一步明确冬季采暖费补贴有关问题的通知》（人社发〔2011〕99号）。保证州直破产企业退休人员冬季采暖费补助发放工作，补助资金：560元/人/年，退休人员生活质量有所提高，使退休职工切实感受到党和国家的惠民政策和关心关爱。</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核定享受破产企业退休职工人数达1225人，保证冬季采暖费补助发放工作发放及时、全覆盖，补助资金：560元/人/年。通过该项目的实施，提升了退休人员生活质量，促进了社会稳定和谐。</w:t>
              <w:tab/>
              <w:tab/>
              <w:tab/>
              <w:tab/>
              <w:tab/>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核定享受破产企业退休职工人数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=1282人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=1225人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=1282人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2024年有人员死亡，实际核定发放人数减少。</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资金发放到位率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资金发放率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=2024年9月24日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采暖费补助金额（万元）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=71.19万元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采暖费补助标准（元）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落实州直破产企业退休人员采暖补贴政策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98.89分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昌吉回族自治州社会保险中心本级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昌吉回族自治州社会保险中心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31.43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88.86%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7.21</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24.43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按照工作要求，完成3期培训，培训天数45天，工作完成率达90%以上，不断提高援疆工作社会覆盖面，参加培训人员满意度达95%以上，着力提升人力资源素质，为新时期昌吉州人社事业高质量发展提供智力支持。</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截至2024年12月31日，该项目实际完成3期福建援疆培训，培训天数44天，参加培训人员满意度达100%，工作完成率达100%。通过该项目的实施，提升了人力资源素质，促进了新时期昌吉州人社事业高质量发展。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培训期数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培训天数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&gt;=45天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97.78%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培训天数按实际填写。</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所有培训和活动按期完成。</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援疆培训经费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&lt;=22.93万元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=22.93万元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党员活动经费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2024年与多个银行合力开展党员活动，银行主要承担费用。</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公务用车租赁费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社会保险经办业务有序开展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参加培训人员满意率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参加培训人员对课程的各项效果都感到很满意。</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89.55分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社会保险全民参保计划工作经费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昌吉回族自治州社会保险中心本级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昌吉回族自治州社会保险中心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96.50%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9.12</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进一步织密社会保障安全网，推动自治区社会保障事业高质量发展、可持续发展，使改革发展成果更多更公平惠及各族人民群众，加快实施全民参保计划，加快实现我州社会保险从制度全覆盖到人员全覆盖，推动建立完善更加公平可持续的社会保障体系。</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社会保险参保144.28万人，社会保险政策培训1次，参与培训3000人，圆满完成自治区下达社会保险参保扩面任务，共支付9.65万元。通过该项目的实施，提升了我州全民参保的质量，促进了社会保障体系的完善。</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社会保险参保人次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&gt;=140万人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=144.28万人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103.06%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=144.9万人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宣传效果到位，群众参保积极性提升。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社会保险宣传单印刷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社会保险政策培训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社会保险政策培训人次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&gt;=3000人次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完成自治区下达社会保险参保扩面任务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宣传培训经费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主要以疆内出差为主，实际差旅费减少。</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提升社会保险参保质量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95.89分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社会保险公共经办服务保障经费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昌吉回族自治州社会保险中心本级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昌吉回族自治州社会保险中心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39.55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98.87%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9.72</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39.55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保障社会保险经办业务正常运转，资产管理工作，后勤保障服务人员6人、维修维护次数1次，后勤安全、清洁保障天数365天。确保实现社保经办管理精细化、协调科学化、服务优质化目标。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截至2024年12月31日，该项目实际完成保障后勤保障服务人员8人，办公人员数量67人，全年保障经费使用39.55万元。提升了社会保险业务经办服务质量，促进了实现社保经办管理精细化、协调科学化、服务优质化。</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后勤服务人员数量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保障办公人员数量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2024年我单位退休6人。</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社会保险经办场所正常运转率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安保服务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维修保洁服务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95.83%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冬季清雪期未结束，为保障清雪质量，所以未支付清雪服务费。</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安全保障经费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资产清查费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社会保险经办业务有序开展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99.20分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社会保险基金风险防控工作经费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昌吉回族自治州社会保险中心本级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昌吉回族自治州社会保险中心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18.53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18.53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18.53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18.53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人力资源部关于加强社会保险基金风险防控工作的意见》人社部[2018]43号，加强社会保险基金管理风险防控是贯彻落实中央防范和化解重大风险总体要求的主要举措，培训次数1次培训人次800次，保障法律服务1项，社保经办审计1次，确保社会保险制度健康可持续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培训检查2次，培训人数达767人次，出勤率达96.97%，培训人员满意度达96.97%，项目资金已支付18.53万元。通过该项目的实施，提升了社会保险基金风险防控能力，促进了社会保险制度健康可持续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培训检查次数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&gt;=767人次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=767人次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=805人次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县市培训人员对此次培训比预期要更加重视。</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2024年3月6日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风险防控培训费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&lt;=13.53万元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=13.53万元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=7.61万元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法律顾问服务费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社会保险基金风险防控能力提升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102.07%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培训人员对该培训内容、方式及工作操作性比预期满意。</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99.23分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社会保险宣传费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昌吉回族自治州社会保险中心本级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昌吉回族自治州社会保险中心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关于印发2023年自治区社会保险管理经办服务工作要点的通知》新人社发【2023】5号文件，昌吉社保微信公众号平台信息发布期240期抖音平台推送期数240期微信播发稿件数量42篇推动社保宣传向纵深发展要求，养老保险全国统筹等重大改革举措大力开展政策宣传。</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昌吉社保微信公众号平台发布信息200期，抖音平台推送280期，微信、抖音用户量达到26.88万人，领导批阅率达到100%，项目资金已支付19万元。通过该项目的实施，提升了社会保险政策的宣传能力，促进了养老保险全国统筹等重大改革举措的推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昌吉社保微信公众号平台信息发布期数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&gt;=200期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=177期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抖音平台推送期数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&gt;=280期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=280期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=273期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领导批阅率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微信公众号费用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抖音平台托管费用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抖音平台用户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&gt;=5万人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=5.5万人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因2024年延迟退休政策的颁布，群众关注度较高，平台关注量增加。</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微信公众号用户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&gt;=20万人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=21.38万人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=19万人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因2024年延迟退休政策的颁布，群众关注度较高，平台关注量增加。</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97.46分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社会保险标准化工作经费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昌吉回族自治州社会保险中心本级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昌吉回族自治州社会保险中心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邀请资质齐全第三方对社会保险政策标准进行评估等工作，运用流程标准化、管理制度化、流程信息化等多种手段，不断提升管理与服务水平；形成了由通用基础、服务保障、服务提供三大类构成的昌吉州社会保险标准体系，成功打造社保服务“昌吉品牌”，引领了社保经办业务的发展方向，增强了人民群众获得感、幸福感、安全感。</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标准化运行评估1次，社会保险标准化执行率达到100%，社会保险政务服务事项公开率100%，社会保险业务经办差错率只有0.5%，标准化宣贯及运行评估经费支付6万元，服务指南和业务表单印刷经费支付3万元。通过该项目的实施，提升了社会保障能力，促进了社保服务“昌吉品牌”的打造。</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标准化运行评估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社会保险标准化执行率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各经办机构全部严格执行标准化。</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社会保险政务服务事项公开率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及时公布各类社会保险政务服务事项。</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社会保险业务经办差错率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标准化宣贯及运行评估经费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服务指南和业务表单印刷经费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提升服务质效，群众满意度高。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社会保险经办服务人员工作经费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昌吉回族自治州社会保险中心本级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昌吉回族自治州社会保险中心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依据《2023年自治区社会保险经办管理服务工作要点的通知》（新人社发〔2023〕5号）全面实施综合柜员制，加快构建“一网通办”经办服务格局，推动自治区社会保障事业高质量发展、可持续发展，使改革发展成果更多更公平惠及各族人民群众。</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社会保险经办管理辅助性岗位人员3人，出勤率100%，考核合格率100%，人员费用21万元；办理养老保险、失业保险、工伤保险三类社会保险业务，经办业务精准率99.87%，参保群众无差评，满意度100%。通过该项目的实施，提升了社会保险政务服务效率和质量，促进了社会保障事业高质量发展、可持续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社会保险经办管理辅助性岗位人员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保障社会保险经办种类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办理社会保险业务精准率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辅助性岗位人员培训到位，业务差错率降低。</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辅助性岗位人员出勤率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辅助性岗位人员2024年全年按时到岗到位，没有迟到早退情况。</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辅助性岗位人员考核合格率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社会保险经办管理辅助性岗位人员费用（万元/年）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提升政务服务能力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参保人员满意度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辅助性岗位人员业务熟练，服务周到。</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99.74分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社会保障卡发放工作经费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昌吉回族自治州社会保险中心本级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昌吉回族自治州社会保险中心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关于印发《昌吉州建设社会保障卡“一卡通”创新应用全国示范地区工作实施方案》的通知》（昌州政办发〔2021〕56号）要求，社会保障卡宣传5次以上。以“便民利民惠民”为宗旨，深入推进社保卡在昌吉州政务服务领域的应用，不断拓展社保卡在财政惠民、就医购药、文化旅游、交通出行等与群众生活密切相关的公共服务领域创新应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社会保障卡宣传5次，第三代社会保障卡换发数14.65万张，社会保障卡发放覆盖率99.04%。通过该项目的实施，提升了社会保障能力，促进了社保卡在财政惠民、就医购药、文化旅游、交通出行等与群众生活密切相关的公共服务领域创新应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社会保障卡宣传次数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第三代社会保障卡换发数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&gt;=14万张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=14.65万张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104.64%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社保宣传到位，群众关注度高，实际换发数比预期高。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社会保障卡正常使用率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=95.43%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电子社保卡签发率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=83.77%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社保宣传到位，群众关注度高，实际电子社保卡签发率比预期高。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社会保障卡发放覆盖率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101.06%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医院、药店等场所使用频率高，实际社会保障卡发放覆盖率比预期高。</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社会保障卡宣传品单价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&lt;=0.6元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=0.35元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为吸引群众关注，宣传品增加了宣传袋，宣传品单价增加。</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社会保险待遇社保卡发放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99.77分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