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 xml:space="preserve">附件2：</w:t>
      </w: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 xml:space="preserve">项目支出绩效自评报告</w:t>
      </w:r>
    </w:p>
    <w:p>
      <w:pPr>
        <w:spacing w:line="540" w:lineRule="exact"/>
        <w:jc w:val="center"/>
        <w:rPr>
          <w:rFonts w:ascii="华文中宋" w:eastAsia="华文中宋" w:hAnsi="华文中宋" w:cs="宋体"/>
          <w:b/>
          <w:kern w:val="0"/>
          <w:sz w:val="52"/>
          <w:szCs w:val="52"/>
        </w:rPr>
      </w:pPr>
    </w:p>
    <w:p>
      <w:pPr>
        <w:spacing w:line="54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楷体" w:eastAsia="楷体" w:hAnsi="楷体" w:hint="eastAsia"/>
          <w:spacing w:val="-4"/>
          <w:sz w:val="32"/>
          <w:szCs w:val="32"/>
        </w:rPr>
        <w:t xml:space="preserve">2024</w:t>
      </w:r>
      <w:r>
        <w:rPr>
          <w:rFonts w:eastAsia="仿宋_GB2312" w:hAnsi="宋体" w:cs="宋体" w:hint="eastAsia"/>
          <w:kern w:val="0"/>
          <w:sz w:val="36"/>
          <w:szCs w:val="36"/>
        </w:rPr>
        <w:t xml:space="preserve">  年度）</w:t>
      </w: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rPr>
          <w:rFonts w:eastAsia="仿宋_GB2312" w:hAnsi="宋体" w:cs="宋体"/>
          <w:kern w:val="0"/>
          <w:sz w:val="30"/>
          <w:szCs w:val="30"/>
        </w:rPr>
      </w:pPr>
    </w:p>
    <w:p>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pPr>
        <w:spacing w:line="700" w:lineRule="exact"/>
        <w:ind w:firstLine="900" w:firstLineChars="250"/>
        <w:jc w:val="left"/>
        <w:rPr>
          <w:rFonts w:eastAsia="仿宋_GB2312" w:hAnsi="宋体" w:cs="宋体"/>
          <w:kern w:val="0"/>
          <w:sz w:val="36"/>
          <w:szCs w:val="36"/>
        </w:rPr>
      </w:pPr>
      <w:r>
        <w:rPr>
          <w:rFonts w:eastAsia="仿宋_GB2312" w:hAnsi="宋体" w:cs="宋体" w:hint="eastAsia"/>
          <w:kern w:val="0"/>
          <w:sz w:val="36"/>
          <w:szCs w:val="36"/>
        </w:rPr>
        <w:t xml:space="preserve">项目名称：</w:t>
      </w:r>
      <w:r>
        <w:rPr>
          <w:rStyle w:val="Strong"/>
          <w:rFonts w:ascii="楷体" w:eastAsia="楷体" w:hAnsi="楷体" w:hint="eastAsia"/>
          <w:spacing w:val="-4"/>
          <w:sz w:val="32"/>
          <w:szCs w:val="32"/>
        </w:rPr>
        <w:t xml:space="preserve">昌吉州政府网站和云平台运维项目经费</w:t>
      </w:r>
    </w:p>
    <w:p>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实施单位（公章）：</w:t>
      </w:r>
      <w:r>
        <w:rPr>
          <w:rStyle w:val="Strong"/>
          <w:rFonts w:ascii="楷体" w:eastAsia="楷体" w:hAnsi="楷体" w:hint="eastAsia"/>
          <w:spacing w:val="-4"/>
          <w:sz w:val="28"/>
          <w:szCs w:val="28"/>
        </w:rPr>
        <w:t xml:space="preserve">昌吉回族自治州人民政府电子政务办公室</w:t>
      </w:r>
    </w:p>
    <w:p>
      <w:pPr>
        <w:spacing w:line="540" w:lineRule="exact"/>
        <w:ind w:firstLine="900" w:firstLineChars="250"/>
        <w:rPr>
          <w:rFonts w:ascii="楷体" w:eastAsia="楷体" w:hAnsi="楷体"/>
          <w:b/>
          <w:bCs/>
          <w:spacing w:val="-4"/>
          <w:sz w:val="28"/>
          <w:szCs w:val="28"/>
        </w:rPr>
      </w:pPr>
      <w:r>
        <w:rPr>
          <w:rFonts w:eastAsia="仿宋_GB2312" w:hAnsi="宋体" w:cs="宋体" w:hint="eastAsia"/>
          <w:kern w:val="0"/>
          <w:sz w:val="36"/>
          <w:szCs w:val="36"/>
        </w:rPr>
        <w:t xml:space="preserve">主管部门（公章）：</w:t>
      </w:r>
      <w:r>
        <w:rPr>
          <w:rStyle w:val="Strong"/>
          <w:rFonts w:ascii="楷体" w:eastAsia="楷体" w:hAnsi="楷体" w:hint="eastAsia"/>
          <w:spacing w:val="-4"/>
          <w:sz w:val="28"/>
          <w:szCs w:val="28"/>
        </w:rPr>
        <w:t xml:space="preserve">昌吉回族自治州人民政府电子政务办公室</w:t>
      </w:r>
    </w:p>
    <w:p>
      <w:pPr>
        <w:spacing w:line="540" w:lineRule="exact"/>
        <w:ind w:firstLine="900" w:firstLineChars="250"/>
        <w:rPr>
          <w:rFonts w:ascii="楷体" w:eastAsia="楷体" w:hAnsi="楷体"/>
          <w:b/>
          <w:bCs/>
          <w:spacing w:val="-4"/>
          <w:sz w:val="32"/>
          <w:szCs w:val="32"/>
        </w:rPr>
      </w:pPr>
      <w:r>
        <w:rPr>
          <w:rFonts w:eastAsia="仿宋_GB2312" w:hAnsi="宋体" w:cs="宋体" w:hint="eastAsia"/>
          <w:kern w:val="0"/>
          <w:sz w:val="36"/>
          <w:szCs w:val="36"/>
        </w:rPr>
        <w:t xml:space="preserve">项目负责人（签章）：</w:t>
      </w:r>
      <w:r>
        <w:rPr>
          <w:rStyle w:val="Strong"/>
          <w:rFonts w:ascii="楷体" w:eastAsia="楷体" w:hAnsi="楷体" w:hint="eastAsia"/>
          <w:spacing w:val="-4"/>
          <w:sz w:val="32"/>
          <w:szCs w:val="32"/>
        </w:rPr>
        <w:t xml:space="preserve">田涛</w:t>
      </w:r>
    </w:p>
    <w:p>
      <w:pPr>
        <w:spacing w:line="540" w:lineRule="exact"/>
        <w:ind w:left="273" w:firstLine="567"/>
        <w:rPr>
          <w:rStyle w:val="Strong"/>
          <w:rFonts w:ascii="楷体" w:eastAsia="楷体" w:hAnsi="楷体"/>
          <w:spacing w:val="-4"/>
          <w:sz w:val="32"/>
          <w:szCs w:val="32"/>
        </w:rPr>
      </w:pPr>
      <w:r>
        <w:rPr>
          <w:rFonts w:eastAsia="仿宋_GB2312" w:hAnsi="宋体" w:cs="宋体" w:hint="eastAsia"/>
          <w:kern w:val="0"/>
          <w:sz w:val="36"/>
          <w:szCs w:val="36"/>
        </w:rPr>
        <w:t xml:space="preserve">填报时间：</w:t>
      </w:r>
      <w:r>
        <w:rPr>
          <w:rStyle w:val="Strong"/>
          <w:rFonts w:ascii="楷体" w:eastAsia="楷体" w:hAnsi="楷体" w:hint="eastAsia"/>
          <w:spacing w:val="-4"/>
          <w:sz w:val="32"/>
          <w:szCs w:val="32"/>
        </w:rPr>
        <w:t xml:space="preserve">2025年05月12日</w:t>
      </w:r>
    </w:p>
    <w:p>
      <w:pPr>
        <w:spacing w:line="700" w:lineRule="exact"/>
        <w:ind w:firstLine="708" w:firstLineChars="236"/>
        <w:jc w:val="left"/>
        <w:rPr>
          <w:rFonts w:eastAsia="仿宋_GB2312" w:hAnsi="宋体" w:cs="宋体"/>
          <w:kern w:val="0"/>
          <w:sz w:val="30"/>
          <w:szCs w:val="30"/>
        </w:rPr>
      </w:pPr>
    </w:p>
    <w:p>
      <w:pPr>
        <w:spacing w:line="540" w:lineRule="exact"/>
        <w:rPr>
          <w:rStyle w:val="Strong"/>
          <w:rFonts w:ascii="黑体" w:eastAsia="黑体" w:hAnsi="黑体"/>
          <w:b w:val="0"/>
          <w:spacing w:val="-4"/>
          <w:sz w:val="32"/>
          <w:szCs w:val="32"/>
        </w:rPr>
      </w:pP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一、基本情况</w:t>
      </w:r>
    </w:p>
    <w:p>
      <w:pPr>
        <w:spacing w:line="540" w:lineRule="exact"/>
        <w:ind w:firstLine="567"/>
        <w:rPr>
          <w:rStyle w:val="Strong"/>
          <w:rFonts w:ascii="楷体" w:eastAsia="楷体" w:hAnsi="楷体" w:hint="default"/>
          <w:spacing w:val="-4"/>
          <w:sz w:val="32"/>
          <w:szCs w:val="32"/>
          <w:lang w:val="en-US" w:eastAsia="zh-CN"/>
        </w:rPr>
      </w:pPr>
      <w:r>
        <w:rPr>
          <w:rStyle w:val="Strong"/>
          <w:rFonts w:ascii="楷体" w:eastAsia="楷体" w:hAnsi="楷体" w:hint="eastAsia"/>
          <w:spacing w:val="-4"/>
          <w:sz w:val="32"/>
          <w:szCs w:val="32"/>
        </w:rPr>
        <w:t xml:space="preserve">（一）项目概况</w:t>
      </w:r>
      <w:r>
        <w:rPr>
          <w:rStyle w:val="Strong"/>
          <w:rFonts w:ascii="楷体" w:eastAsia="楷体" w:hAnsi="楷体" w:hint="eastAsia"/>
          <w:spacing w:val="-4"/>
          <w:sz w:val="32"/>
          <w:szCs w:val="32"/>
          <w:lang w:eastAsia="zh-CN"/>
        </w:rPr>
        <w:t xml:space="preserve">。</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（一）项目概况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1.项目背景</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国家电子政务外网管理中心《关于组织开展全国政外网边界安全专项检查工作的通知》文件要求:“为强化政务外网与互联网边界安全，做好建国70周年期间网络安全保障，需各电子政务外网管理单位开展自查工作、抓好整改落实，完善规范各级电子政务外网和互联网边界，确保电子政务外网安全运行”。</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当前昌吉州电子政务外网数据安全系统、抗拒绝攻击系统、核心交换、入侵防御等系统不完善，因此，急需做相关改造，新增数据安全交换系统，更新替换抗拒绝攻击设备、入侵防御等，以实现昌吉州政务云网络与信息安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2.主要内容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（1）项目名称：昌吉州政府网站和云平台运维项目经费项目（以下简称“该项目”或“项目”）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主要内容：项目用于完成昌吉州政务云平台和全州政府系统电子政务专网、外网建设和维护，维护应用系统个数≥70个，维护政务云平台服务器≥1500台，系统故障率≤10%，最终时限昌吉州电子政务建设水平持续提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3.实施情况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实施主体：昌吉州人民政府电子政务办公室。</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实施时间：本项目实施周期为2024年1月1日-2024年12月31日。</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情况：在前期准备阶段，昌吉州人民政府电子政务办公室成立了项目筹备小组，组织专业人员深入研究项目需求，结合昌吉州政务网络实际情况，制定了详细的项目实施方案。同时，依据相关法律法规和政策要求，编制了科学合理的项目预算，明确了资金使用方向和范围。在招投标环节，严格按照政府采购程序，通过公开招标的方式，吸引了多家具备相关资质和丰富经验的供应商参与投标。经过严谨的评标流程，最终确定了技术实力雄厚、服务方案优质的供应商作为项目合作伙伴。在项目实施过程中，实施团队按照既定计划有序推进各项工作。定期对政务云平台服务器进行全面巡检，及时发现并更换老化硬件设备，优化服务器性能；对应用系统进行持续的功能测试和安全检测，修复了大量潜在漏洞，提升了系统的稳定性和安全性。项目组还建立了 24 小时值班制度，确保能够及时响应和处理各类突发问题。在项目验收阶段，邀请了行业专家、相关部门代表组成验收小组，对项目成果进行了全面细致的检查和评估。通过现场测试、资料审核、功能验证等环节，验收小组一致认为项目达到了预期目标，顺利通过验收。项目投入使用后，昌吉州政务云平台和电子政务专网、外网运行更加稳定，应用系统功能更加完善，为政府部门和社会公众提供了高效、安全的政务服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4.项目实施主体</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（1）主要职能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①负责全州政府系统有关电子政务的组织、规划、协调和指导工作；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②负责自治州统一的电子政务专网和应用系统的建设和应用管理工作；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③负责为自治州政府领导和政府办公室机关服务的电子政务系统的组织、规划、建设和应用保障工作；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④负责为社会和群众提供网上服务的自治州政府电子政务外网和公众网站的建设和应用管理工作。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（2）机构设置情况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单位内设机构：综合科、宣传科、技术科、应用推进科等。</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5.资金投入和使用情况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（1）项目资金安排落实、总投入等情况分析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本项目预算安排总额为130.11万元，资金来源为本级部门预算，其中：财政资金130.11万元，其他资金0万元，2024年实际收到预算资金130.11万元，预算资金到位率为100%。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（2）项目资金实际使用情况分析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截至2024年12月31日，本项目实际支付资金130.11万元，预算执行率100%本项目资金主要用于支付电费费用44万元、工程师成本费用8万元，软硬件设备及耗材购置30万元，运维服务成本48.11万元。</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（二）项目绩效目标</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1.总体目标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　　通过本项目的实施，全面提升昌吉州政务云平台和电子政务专网、外网的建设和运维水平，确保≥70个应用系统和≥1500台服务器稳定运行，系统故障率控制在10% 以内。实现政务数据的高效共享和业务协同，增强政务网络的安全性和可靠性，提高政府部门的行政效率和服务质量，为社会公众提供更加便捷、高效的政务服务，推动昌吉州电子政务建设达到国内先进水平，助力数字政府建设和区域经济社会高质量发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2.阶段性目标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根据《中华人民共和国预算法》《财政支出绩效评价管理暂行办法》（财预〔2020〕10号）、《中共中央 国务院关于全面实施预算绩效管理的意见》（中发〔2018〕34号）、《自治区党委自治区人民政府关于全面实施预算绩效管理的实施意见》（新党发〔2018〕30号）、《自治区财政支出绩效评价管理暂行办法》（新财预〔2018〕189号）、《自治州财政支出绩效评价管理暂行办法》（昌州财预〔2018〕171号）的规定，结合我单位的规章制度以及项目实施和财务相关资料，评价小组对项目绩效指标进行了进一步的完善，完善后绩效指标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（1）项目产出指标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①数量指标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“维护系统数量（个）”指标，预期指标值为“≥70个”；</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“维护服务器数量（个）”指标，预期指标值为“＝1500台”；</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②质量指标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“系统故障率(％)”指标，预期指标值为“≤10%”；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③时效指标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“系统故障修复响应时间”指标，预期指标值为“≤2小时”；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①经济成本指标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“电费”指标，预期指标值为“≤44万元”；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“工程师成本”指标，预期指标值为“≤8万元”；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“软硬件设备及耗材购置”指标，预期指标值为“≤30万元”；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“运维服务成本”指标，预期指标值为“≤48.11万元”；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②社会成本指标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③生态环境成本指标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（3）项目效益指标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①经济效益指标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②社会效益指标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“昌吉州电子政务建设水平持续提升”指标，预期指标值为“提高”；</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③生态效益指标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（4）项目满意度指标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①满意度指标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二、绩效评价工作开展情况</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（一）绩效评价目的、对象和范围</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（一）绩效评价的目的、对象和范围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1.绩效评价的目的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为全面实施预算绩效管理，建立科学、合理的项目支出绩效评价管理体系，提高财政资源配置效率和使用效益，根据财政部印发《项目支出绩效评价管理办法》（财预〔2020〕10号）、《自治区财政支出绩效评价管理暂行办法》（新财预〔2018〕189号）、关于印发《自治州财政支出绩效评价管理暂行办法》的通知（昌州财预〔2018〕171号）、《关于印发&lt;自治区项目支出绩效目标设置指引&gt;的通知》（新财预〔2022〕42号）文件精神，我单位针对昌吉州政府网站和云平台运维项目经费项目开展本次部门项目支出绩效评价工作。通过绩效评价，促进本单位总结经验、发现问题、改进工作，旨在评价本项目前期审批、实施过程及实施效果，促进预算管理不断完善，加快绩效目标的实现，保证财政资金有效、合理使用，具体绩效评价的目的细分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通过部门项目支出绩效评价，进一步严格落实《中华人民共和国预算法》以及党中央、国务院关于加强预算绩效管理的指示精神，建立健全“花钱必问效、无效必问责”的绩效预算管理机制、提升财政资金的使用效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是通过部门项目支出绩效评价，进一步做实绩效目标，根据项目绩效目标设立情况，细化形成多维度绩效指标，将绩效指标细化为数量指标、质量指标、时效指标、经济成本指标、社会成本指标、社会生态环境成本指标、经济效益指标、社会效益指标、服务对象满意度指标等内容，保证项目绩效指标设置科学、规范、合理、可衡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2.绩效评价对象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此次我单位根据《财政支出绩效评价管理暂行办法》（财预〔2020〕10号）文件要求实施评价工作，本次评价对象为昌吉州政府网站和云平台运维项目经费项目，评价核心为项目资金、项目产出、项目效益。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3.绩效评价范围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绩效评价主要围绕项目资金使用情况和财务管理状况；资产配置、使用、处置及其收益管理情况；项目管理相关制度及措施是否被认真执行；绩效目标的实现程度（包括是否达到预定产出和效果）等方面进行综合绩效评价。</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（二）绩效评价原则、评价指标体系、评价方法、评价标准</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（二）绩效评价原则、评价指标体系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1.绩效评价原则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依据《中华人民共和国预算法》《中共 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关于印发&lt;自治区项目支出绩效目标设置指引&gt;的通知》（新财预〔2022〕42号）等要求，绩效评价应遵循如下原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（1）科学公正。绩效评价应当运用科学合理的方法，按照规范的程序，对项目绩效进行客观、公正地反映。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（4）公开透明。绩效评价结果应依法依规公开，并自觉接受社会监督。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根据以上原则，绩效评价应遵循如下要求：</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（1）在数据采集时，采取客观数据，主管部门审查、社会中介组织复查，与问卷调查相结合的形式，以保证各项指标的真实性。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（2）保证评价结果的真实性、公正性，提高评价报告的公信力。</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报告应当简明扼要，除了对绩效评价的过程、结果描述外，还应总结经验，指出问题，并就共性问题提出可操作性改进建议。评价工作组本着科学规范、公平公正、绩效相关的原则，采用全面、重点、现场和非现场相结合的方式进行评价。</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2.绩效评价指标体系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通过实施资料研读及前期调研，结合项目的实际开展情况，按照《项目支出绩效评价管理办法》（财预〔2020〕10号）文件要求，结合项目特点，经与专家组充分协商，设置指标体系结构如下：设置一级指标共5个，包括：决策指标（21.00%）、过程指标（19.00%）、产出指标（30.00%）、效益指标（20.00%）、满意度指标（10.00%）五类指标。主要围绕资金使用、项目管理、资源配置等方面，客观分析项目的产出和效果，从而考察项目预算定额标准的合理性，进而提出完善意见。整个评价框架构成体现从投入、过程到产出、效果和影响的绩效逻辑路径。详细指标体系见“附件1：项目支出绩效评价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3.评价方法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根据本项目资金的性质和特点，选用比较法、公众评判法对项目进行评价，旨在通过综合分析影响绩效目标实现、实施效果的内外部因素，从而评价本项目绩效。其中：比较法，是指通过对绩效目标与实施效果、历史与当期情况、不同部门和地区同类支出的比较，综合分析绩效目标实现程度；公众评判法，是指通过专家评估、公众问卷及抽样调查等对财政支出效果进行评判，评价绩效目标实现程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三级指标分析环节：总体采用比较法，同时辅以文献法、成本效益法、因素分析法以及公众评判法，根据不同三级指标类型进行逐项分析。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定量指标分析环节：主要采用对比三级指标预期指标值和三级指标截止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定性指标分析环节：主要采用公众评判法，通过问卷及抽样调查等方式评价本项目实施后社会公众对于其实施效果的满意程度，将调研结果按照《关于印发&lt;自治区项目支出绩效目标设置指引&gt;的通知》（新财预〔2022〕42号）要求分为基本达成目标、部分实现目标、实现目标程度较低三档，分别按照该指标对应分值区间100.00%（含）-80.00%（含）、80.00%-60.00%（含）、60.00%-0.00%合理确定分值，详细评价方法的应用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立项依据充分性：比较法、文献法，查找法律法规政策以及规划，对比实际执行内容和政策支持内容是否匹配。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立项程序规范性：比较法、文献法，查找相关项目设立的政策和文件要求，对比分析实际执行程序是否按照政策及文件要求执行，分析立项程序的规范性。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绩效目标合理性：比较法，对比分析年初编制项目支出绩效目标表与项目内容的相关性、资金的匹配性等。</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绩效指标明确性：比较法，比较分析年初编制项目支出绩效目标表是否符合双七原则，是否可衡量。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预算编制科学性：成本效益分析法，分析在产出一定的情况下，成本取值是否有依据，是否经过询价，是否按照市场最低成本编制。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资金分配合理性：因素分析法，综合分析资金的分配依据是否充分，分配金额是否与项目实施单位需求金额一致，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资金到位率：比较法，资金到位率预期指标值应为100.00%，通过实际计算，分析实际完成值和预期指标值之间的差距和原因。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预算执行率：比较法，预算执行率预期指标值应为100.00%，通过实际计算，分析实际完成值和预期指标值之间的差距和原因。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资金使用合规性：文献法、实地勘察法，一是查找资金管理办法，包括专项资金管理办法和单位自有资金管理办法；二是通过查账了解具体开支情况，是否专款专用，是否按照标准支出。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管理制度健全性：文献法、比较法，查阅项目实施人员提供的财务和业务管理制度，将已建立的制度与现行的法律法规和政策要求进行对比，分析项目制度的合法性、合规性、完整性。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制度执行有效性：比较法，结合项目实际实施过程性文件，根据已建设的财务管理制度和项目管理制度综合分析制度执行的有效性。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定性指标：公众评判法，通过问卷及抽样调查等方式评价本项目实施后社会公众对于其实施效果的满意程度。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绩效评价标准通常包括计划标准、行业标准、历史标准等，用于对绩效指标完成情况进行比较、分析、评价。具体绩效评价标准解释如下：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计划标准：指以预先制定的目标、计划、预算、定额等作为评价标准。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行业标准：指参照国家公布的行业指标数据制定的评价标准。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历史标准：指参照历史数据制定的评价标准，为体现绩效改进的原则，在可实现的条件下应当确定相对较高的评价标准。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（三）绩效评价工作过程</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（三）绩效评价工作过程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1.前期准备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于2025年3月10日，确定绩效评价工作小组，正式开始前期准备工作，通过对评价对象前期调研，确定了评价的目的、方法以及评价的原则，根据项目的内容和特征制定了评价指标体系及评价标准。绩效评价工作小组人员名单及分工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田涛（评价小组组长）：主要负责项目策划和监督，全面负责项目绩效评价报告的最终质量，对评价人员出具的最终报告质量进行复核，确保评估结果的客观性；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史健龙（评价小组组员）：主要负责资料的收集，取证、数据统计分析；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技术科、聂亚楠（评价小组组员）：主要负责项目报告的制定，指标的研判，数据分析及报告撰写。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3月11日-3月14日，评价工作进入实施阶段。在数据采集方面，评价小组整理单位前期提交的资料，与项目实施负责人沟通，了解资金的内容、操作流程、管理机制、资金使用方向等情况并采集信息，了解项目设置背景及资金使用等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3.分析评价</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2025年3月15日-3月20日，评价小组按照绩效评价的原则和规范，对取得的资料进行审查核实，对采集的数据进行分析，按照绩效评价指标评分表逐项进行打分、分析、汇总各方评价结果。　</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4.撰写与提交评价报告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2025年3月21日-3月28日，评价小组撰写绩效评价报告，按照新疆维吾尔自治区财政绩效管理信息系统绩效评价模块中统一格式和文本框架撰写绩效评价报告并提交审核。</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5.问题整改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审核通过后，由评价小组将报告推送至项目实施人员，由项目实施人员根据报告评价结论、存在的问题以及改进建议落实问题整改，并形成整改报告，由评价小组负责监督和核查整改落实情况，确保绩效评价落到实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6.档案整理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建立和落实档案管理制度，将项目相关资料存档，包括但不限于：评价项目基本情况和相关文件、评价实施方案、项目支付资料等相关档案。</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三、综合评价情况及评价结论</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（一）综合评价情况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评价，本项目达成年初设立的绩效目标，在实施过程中取得了良好的成效，具体表现在：截至2024年12月31日，该项目实际完成维护系统70个，维护服务器1500台，系统故障率0%，系统故障修复响应时间完成2小时，通过该项目的实施，提升了昌吉州电子政务建设水平，促进了运维团队的整体技术水平，使其能够更好地应对各类突发状况。但在实施过程中也存在一些不足，如指标设定科学性不足与年初设定指标时，未充分结合实际工作关联，指标设定逻辑未精准匹配业务实际，前期缺乏对工作内容、需求的深度调研与关联分析，导致指标初始设定有偏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次绩效评价通过绩效评价小组论证的评价指标体系及评分标准，采用因素分析法和比较法对本项目绩效进行客观评价，最终评分结果：总分为100分，绩效评级为“优”。综合评价结论如下：本项目共设置三级指标数量20个，实现三级指标数量20个，总体完成率为100%。项目决策类指标共设置6个，满分指标6个，得分率100%；过程管理类指标共设置5个，满分指标5个，得分率100%；项目产出类指标共设置8个，满分指标8个，得分率100%；项目效益类指标共设置1个，满分指标1个，得分率100%。详细情况见“表3-1：项目综合得分表”及“附件2：项目综合得分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表3-1：项目综合得分表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指标 决策类 管理类 产出类 效益类 合计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权重 21.00 19.00 30.00 30.00 100.00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得分 21.00 19.00 30.00 30.00 100.00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得分率 100.00% 100.00% 100.00% 100.00% 100.00%</w:t>
      </w:r>
    </w:p>
    <w:p>
      <w:pPr>
        <w:spacing w:line="540" w:lineRule="exact"/>
        <w:ind w:firstLine="640"/>
        <w:rPr>
          <w:rStyle w:val="Strong"/>
          <w:rFonts w:ascii="黑体" w:eastAsia="黑体" w:hAnsi="黑体"/>
        </w:rPr>
      </w:pPr>
      <w:r>
        <w:rPr>
          <w:rStyle w:val="Strong"/>
          <w:rFonts w:ascii="黑体" w:eastAsia="黑体" w:hAnsi="黑体" w:hint="eastAsia"/>
          <w:b w:val="0"/>
          <w:spacing w:val="-4"/>
          <w:sz w:val="32"/>
          <w:szCs w:val="32"/>
        </w:rPr>
        <w:t xml:space="preserve">四、绩效评价指标分析</w:t>
      </w:r>
      <w:r>
        <w:rPr>
          <w:rStyle w:val="Strong"/>
          <w:rFonts w:ascii="黑体" w:eastAsia="黑体" w:hAnsi="黑体" w:hint="eastAsia"/>
        </w:rPr>
        <w:t xml:space="preserve"> </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（一）</w:t>
      </w:r>
      <w:r>
        <w:rPr>
          <w:rStyle w:val="Strong"/>
          <w:rFonts w:ascii="楷体" w:eastAsia="楷体" w:hAnsi="楷体" w:hint="eastAsia"/>
          <w:spacing w:val="-4"/>
          <w:sz w:val="32"/>
          <w:szCs w:val="32"/>
        </w:rPr>
        <w:t xml:space="preserve">项目决策情况</w:t>
      </w:r>
    </w:p>
    <w:p>
      <w:pPr>
        <w:tabs>
          <w:tab w:val="center" w:pos="4295"/>
        </w:tabs>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（一）项目决策情况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项目决策类指标由3个二级指标和6个三级指标构成，权重分21.00分，实际得分21分。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1.项目立项情况分析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（1）立项依据充分性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立项符合《关于组织开展全国政外网边界安全专项检查工作的通知》中:“为强化政务外网与互联网边界安全，做好建国70周年期间网络安全保障，需各电子政务外网管理单位开展自查工作、抓好整改落实，完善规范各级电子政务外网和互联网边界，确保电子政务外网安全运行”的内容，符合国家法律法规、自治区和地区行业发展规划和政策要求；本项目立项符合符合《昌吉州人民政府电子政务中心单位配置内设机构和人员编制规定》中“统筹全州电子政务外网建设工作”的职责范围，属于我单位履职所需，属于我单位履职所需；根据《财政资金直接支付申请书》，本项目资金性质为“公共财政预算”；功能分类为“其他政府办公厅（室）及相关机构事务支出”；经济分类为“信息网络及软件购置更新”；属于公共财政支持范围，符合中央、地方事权支出责任划分原则；经检查我单位财政管理一体化信息系统，本项目不存在重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综上所述，本指标满分为5.00分，根据评分标准得5分，本项目立项依据充分。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（2）立项程序规范性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为非基础建设类项目，不涉及发改立项批复流程，由我单位自行编制项目实施方案和项目预算申请计划，经过与党委会研究确定最终预算方案。经查看，该项目申请设立过程产生的相关文件，符合相关要求，本项目为非基础建设类项目，属于专项资金安排项目，不涉及事前绩效评估、可行性研究以及风险评估，由我单位严格按照《关于组织开展全国政外网边界安全专项检查工作的通知》文件精神要求实施项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综上所述，本指标满分为3.00分，根据评分标准得3分，本项目立项程序规范。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2.绩效目标情况分析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（1）绩效目标合理性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该项目已设置年度绩效目标，具体内容为“项目用于完成昌吉州政务云平台和全州政府系统电子政务专网、外网建设和维护，维护应用系统个数≥70个，维护政务云平台服务器≥1500台，系统故障率≤10%，最终时限昌吉州电子政务建设水平持续提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该项目实际工作内容为：完成昌吉州政务云平台和全州政府系统电子政务专网、外网建设和维护，维护应用系统、维护政务云平台服务器，保障系统正常支行，最终实现昌吉州电子政务建设水平持续提升。绩效目标与实际工作内容一致，两者具有相关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③该项目按照绩效目标完成数量指标、质量指标、时效指标、成本指标，截至2024年12月31日，该项目实际完成维护系统70个，维护服务器1500台， 系统故障率0%，系统故障修复响应时间完成2小时，通过该项目的实施，提升了昌吉州电子政务建设水平，促进了运维团队的整体技术水平，使其能够更好地应对各类突发状况，预期产出效益和效果符合正常的业绩水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④该项目批复的预算金额为130.11万元，《项目支出绩效目标表》中预算金额为130.11万元，预算确定的项目资金与预算确定的项目投资额相匹配。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综上所述，本指标满分为4.00分，根据评分标准得4分，本项目绩效目标设置合理。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（2）绩效指标明确性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检查我单位年初设置的《项目支出绩效目标表》，得出如下结论：本项目已将年度绩效目标进行细化为绩效指标体系，共设置一级指标3个，二级指标5个，三级指标9个，定量指标8个，定性指标1个，指标量化率为88.89%，量化率达70.00%以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该《项目绩效目标表》中，数量指标指标值为“维护系统数量≥70个”“维护服务器数量≥1500台”，三级指标的年度指标值与年度绩效目标中任务数一致，已设置时效指标“系统故障修复响应时间≤2小时”。已设置的绩效目标具备明确性、可衡量性、可实现性、相关性、时限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综上所述，本指标满分为3.00分，根据评分标准得3分，本项目所设置绩效指标明确。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3.资金投入情况分析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（1）预算编制科学性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本项目昌吉州政府网站和云平台运维项目经费，即预算编制较科学且经过论证；</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申请内容为项目用于完成昌吉州政务云平台和全州政府系统电子政务专网、外网建设和维护，维护应用系统个数≥70个，维护政务云平台服务器≥1500台，系统故障率≤10%，最终时限昌吉州电子政务建设水平持续提升，项目实际内容为该项目实际完成维护系统70个，维护服务器1500台，系统故障率0%，系统故障修复响应时间完成2小时，通过该项目的实施，提升了昌吉州电子政务建设水平，促进了运维团队的整体技术水平，使其能够更好地应对各类突发状况。，预算申请与《昌吉州政府网站和云平台运维项目经费项目实施方案》中涉及的项目内容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申请资金130.11万元，我单位在预算申请中严格按照项目实施内容及测算标准进行核算，其中：电费费用44万元、工程师成本费用8万元，软硬件设备及耗材购置30万元，运维服务成本48.11万元。预算确定资金量与实际工作任务相匹配。本项目预算额度测算依据充分，严格按照标准编制，预算确定资金量与实际工作任务相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综上所述，本指标满分为4.00分，根据评分标准得4分，本项目预算编制科学。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（2）资金分配合理性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分配资金以《关于申请昌吉州政府网站和云平台运维项目经费资金的请示》和《昌吉州政府网站和云平台运维项目经费项目实施方案》为依据进行资金分配，预算资金分配依据充分。根据《关于批复昌吉州本级2024年部门预算的通知》（昌州财预〔2024〕2号），本项目实际到位资金130.11万元，资金分配额度合理，与我单位实际需求相适应。</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综上所述，本指标满分为2.00分，根据评分标准得2分，本项目资金分配合理。</w:t>
      </w:r>
      <w:r>
        <w:rPr>
          <w:rStyle w:val="Strong"/>
          <w:rFonts w:ascii="楷体" w:eastAsia="楷体" w:hAnsi="楷体" w:hint="eastAsia"/>
          <w:b w:val="0"/>
          <w:bCs w:val="0"/>
          <w:spacing w:val="-4"/>
          <w:sz w:val="32"/>
          <w:szCs w:val="32"/>
        </w:rPr>
        <w:tab/>
      </w:r>
    </w:p>
    <w:p>
      <w:pPr>
        <w:spacing w:line="540" w:lineRule="exact"/>
        <w:ind w:firstLine="579" w:firstLineChars="181"/>
        <w:rPr>
          <w:rStyle w:val="Strong"/>
          <w:rFonts w:ascii="楷体" w:eastAsia="楷体" w:hAnsi="楷体"/>
          <w:spacing w:val="-4"/>
          <w:sz w:val="32"/>
          <w:szCs w:val="32"/>
        </w:rPr>
      </w:pPr>
      <w:r>
        <w:rPr>
          <w:rFonts w:ascii="楷体" w:eastAsia="楷体" w:hAnsi="楷体" w:hint="eastAsia"/>
          <w:b/>
          <w:spacing w:val="-4"/>
          <w:sz w:val="32"/>
          <w:szCs w:val="32"/>
        </w:rPr>
        <w:t xml:space="preserve">（二）</w:t>
      </w:r>
      <w:r>
        <w:rPr>
          <w:rStyle w:val="Strong"/>
          <w:rFonts w:ascii="楷体" w:eastAsia="楷体" w:hAnsi="楷体" w:hint="eastAsia"/>
          <w:spacing w:val="-4"/>
          <w:sz w:val="32"/>
          <w:szCs w:val="32"/>
        </w:rPr>
        <w:t xml:space="preserve">项目过程情况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（二）项目过程情况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项目过程管理类指标由2个二级指标和5个三级指标构成，权重分19.00分，实际得分19分。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1.资金管理情况分析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（1）资金到位率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本项目预算资金为130.11万元，其中：财政安排资金130.11万元，其他资金0万元，实际到位资金130.11万元，资金到位率=（130.11/130.11）×100.00%=100%。得分=（100%-60.00%）/（1-60.00%）×4.00=4分。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综上所述，本指标满分为4.00分，根据评分标准得4分，本项目资金分配合理。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（2）预算执行率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本项目实际支出资金130.11万元，预算执行率=（实际支出资金/实际到位资金）×100.00%=（130.11/130.11）×100.00%=100%；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项目已完成，总体完成率为100%；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得分=（100%-60.00%）/（1-60.00%）×权重=100%×5.00=5分。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综上所述，本指标满分为5.00分，根据评分标准得5分，本项目资金分配合理。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（3）资金使用合规性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通过检查本项目签订的合同、资金申请文件、发票等财务付款凭证，得出本项目资金支出符合国家财经法规、《政府会计制度》《昌吉州人民政府电子政务中心单位资金管理办法》《昌吉州政府网站和云平台运维项目经费专项资金管理办法》，资金的拨付有完整的审批程序和手续，资金实际使用方向与预算批复用途一致，不存在截留、挤占、挪用、虚列支出的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综上所述，本指标满分为4.00分，根据评分标准得4分，资金支出符合我单位财务管理制度规定。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（1）管理制度健全性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已制定《州人民政府电子政务办公室资金管理办法》《州人民政府电子政务办公室收支业务管理制度》《州人民政府电子政务办公室政府采购业务管理制度》《州人民政府电子政务办公室合同管理制度》，上述已建立的制度均符合行政事业单位内控管理要求，财务和业务管理制度合法、合规、完整，本项目执行符合上述制度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综上所述，本指标满分为2.00分，根据评分标准得2分，项目制度建设健全。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（2）制度执行有效性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该项目的实施符合《州人民政府电子政务办公室内部控制制度》《州人民政府电子政务办公室收支业务管理制度》《州人民政府电子政务办公室采购业务管理制度》《州人民政府电子政务办公室合同管理制度》等相关法律法规及管理规定，项目具备完整规范的立项程序；经查证项目实施过程资料，项目采购、实施、验收等过程均按照采购管理办法和合同管理办法等相关制度执行，基本完成既定目标；经查证党委会议纪要、项目资金支付审批表、记账凭证等资金拨付流程资料，项目资金拨付流程完整、手续齐全。综上分析，项目执行遵守相关法律法规和相关管理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②经现场查证项目合同书、验收评审表、财务支付凭证等资料齐全并及时归档。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③该项目实施过程中不存在调整事项。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该项目实施所需要的项目人员和场地设备均已落实到位，具体涉及内容包括：项目资金支出严格按照自治区、地区以及本单位资金管理办法执行，项目启动实施后，为了加快本项目的实施，成立了昌吉州政府网站和云平台运维项目经费项目工作领导小组，由马子昂任组长，负责项目的组织工作；组员：马建飞，主要负责项目监督管理、验收以及资金核拨等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综上所述，本指标满分为4.00分，根据评分标准得4分，本项目所建立制度执行有效。</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（三）</w:t>
      </w:r>
      <w:r>
        <w:rPr>
          <w:rStyle w:val="Strong"/>
          <w:rFonts w:ascii="楷体" w:eastAsia="楷体" w:hAnsi="楷体" w:hint="eastAsia"/>
          <w:spacing w:val="-4"/>
          <w:sz w:val="32"/>
          <w:szCs w:val="32"/>
        </w:rPr>
        <w:t xml:space="preserve">项目产出情况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（三）项目产出情况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项目产出类指标由4个二级指标和8个三级指标构成，权重分30.00分，实际得分30分。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1.数量指标完成情况分析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“维护系统数量（个）”指标：预期指标值为“≥70个”，实际完成指标值为“=70个”，指标完成率为100.00%。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综上所述，本指标满分为5分，根据评分标准得5分。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“维护服务器数量（个）”指标：预期指标值为“=1500台”，实际完成指标值为“=1500台”，指标完成率为100%。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综上所述，本指标满分为4分，根据评分标准得4分。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2.质量指标完成情况分析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“系统故障率(％)”指标：预期指标值为“≤10%”，实际完成指标值为“=0%”，指标完成率为100%。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综上所述，本指标满分为6分，根据评分标准得6分。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3.时效指标完成情况分析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“系统故障修复响应时间”指标：预期指标值为“≤2小时”，实际完成指标值为“≤2小时”，指标完成率为100%。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综上所述，本指标满分为5分，根据评分标准得5分。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（1）经济成本指标完成情况分析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“电费”指标：预期指标值为“≤44万元”，实际完成指标值为“=44万元”，指标完成率为100%。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综上所述，本指标满分为2分，根据评分标准得2分。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“工程师成本”指标：预期指标值为“≤8万元”，实际完成指标值为“=8万元”，指标完成率为100%。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综上所述，本指标满分为2分，根据评分标准得2分。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“软硬件设备及耗材购置”指标：预期指标值为“≤30万元”，实际完成指标值为“=30万元”，指标完成率为100%。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综上所述，本指标满分为2分，根据评分标准得2分。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“运维服务成本”指标：预期指标值为“≤48.11万元”，实际完成指标值为“≤48.11万元”，指标完成率为100%。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综上所述，本指标满分为4分，根据评分标准得4分。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（2）社会成本指标完成情况分析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（3）生态环境成本指标完成情况分析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（四）</w:t>
      </w:r>
      <w:r>
        <w:rPr>
          <w:rStyle w:val="Strong"/>
          <w:rFonts w:ascii="楷体" w:eastAsia="楷体" w:hAnsi="楷体" w:hint="eastAsia"/>
          <w:spacing w:val="-4"/>
          <w:sz w:val="32"/>
          <w:szCs w:val="32"/>
        </w:rPr>
        <w:t xml:space="preserve">项目效益情况</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（四）项目效益情况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项目效益类指标由1个二级指标和1个三级指标构成，权重分30.00分，实际得分30分。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1.经济效益完成情况分析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2.社会效益完成情况分析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“昌吉州电子政务建设水平持续提升”指标：预期指标值为“提高”，实际完成指标值为“达到预期指标”，指标完成率为100.00%。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综上所述，本指标满分为30分，根据评分标准得30分。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3.生态效益完成情况分析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（五）项目满意度情况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项目满意度类指标由0个二级指标和0个三级指标构成，权重分0分，实际得分0分。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1.满意度完成情况分析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五、预算执行进度与绩效指标偏差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本项目年初预算资金总额为140万元，全年预算数为130.11万元，全年执行数为130.11万元，预算执行率为100%。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本项目共设置三级指标数量20个，满分指标数量20个，扣分指标数量0个，经分析计算所有三级指标完成率得出，本项目总体完成率为100%。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综上所述本项目预算执行率与总体完成率之间的偏差为0%。</w:t>
      </w:r>
      <w:bookmarkStart w:id="0" w:name="_GoBack"/>
      <w:bookmarkEnd w:id="0"/>
    </w:p>
    <w:p>
      <w:pPr>
        <w:spacing w:line="540" w:lineRule="exact"/>
        <w:ind w:firstLine="567"/>
        <w:rPr>
          <w:rStyle w:val="Strong"/>
          <w:rFonts w:ascii="楷体" w:eastAsia="楷体" w:hAnsi="楷体" w:hint="eastAsia"/>
          <w:b w:val="0"/>
          <w:bCs w:val="0"/>
          <w:spacing w:val="-4"/>
          <w:sz w:val="32"/>
          <w:szCs w:val="32"/>
        </w:rPr>
      </w:pPr>
    </w:p>
    <w:p>
      <w:pPr>
        <w:spacing w:line="540" w:lineRule="exact"/>
        <w:ind w:firstLine="567"/>
        <w:rPr>
          <w:rStyle w:val="Strong"/>
          <w:rFonts w:ascii="楷体" w:eastAsia="楷体" w:hAnsi="楷体"/>
          <w:spacing w:val="-4"/>
          <w:sz w:val="32"/>
          <w:szCs w:val="32"/>
        </w:rPr>
      </w:pPr>
    </w:p>
    <w:p>
      <w:pPr>
        <w:numPr>
          <w:ilvl w:val="0"/>
          <w:numId w:val="3"/>
        </w:numPr>
        <w:spacing w:line="540" w:lineRule="exact"/>
        <w:ind w:firstLine="640"/>
        <w:rPr>
          <w:rStyle w:val="Strong"/>
          <w:rFonts w:ascii="黑体" w:eastAsia="黑体" w:hAnsi="黑体" w:hint="eastAsia"/>
          <w:b w:val="0"/>
          <w:spacing w:val="-4"/>
          <w:sz w:val="32"/>
          <w:szCs w:val="32"/>
        </w:rPr>
      </w:pPr>
      <w:r>
        <w:rPr>
          <w:rStyle w:val="Strong"/>
          <w:rFonts w:ascii="黑体" w:eastAsia="黑体" w:hAnsi="黑体" w:hint="eastAsia"/>
          <w:b w:val="0"/>
          <w:spacing w:val="-4"/>
          <w:sz w:val="32"/>
          <w:szCs w:val="32"/>
        </w:rPr>
        <w:t xml:space="preserve">主要经验及做法、存在的问题及原因分析</w:t>
      </w:r>
    </w:p>
    <w:p>
      <w:pPr>
        <w:spacing w:line="540" w:lineRule="exact"/>
        <w:ind w:firstLine="567"/>
        <w:rPr>
          <w:rFonts w:ascii="仿宋_GB2312" w:eastAsia="仿宋_GB2312"/>
          <w:spacing w:val="-4"/>
          <w:sz w:val="32"/>
          <w:szCs w:val="32"/>
        </w:rPr>
      </w:pPr>
      <w:r>
        <w:rPr>
          <w:rStyle w:val="Strong"/>
          <w:rFonts w:ascii="楷体" w:eastAsia="楷体" w:hAnsi="楷体" w:hint="eastAsia"/>
          <w:b w:val="0"/>
          <w:bCs w:val="0"/>
          <w:spacing w:val="-4"/>
          <w:sz w:val="32"/>
          <w:szCs w:val="32"/>
        </w:rPr>
        <w:t xml:space="preserve">（一）主要经验及做法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昌吉州人民政府电子政务中心强化支出责任，提高资金使用效益，对项目支出开展绩效评价，践行“花钱必问效，无效必问责”。我单位严格履行“三重一大”报备制度，2023年度我单位由业务科室做出项目预算明细，上报中心班子会议进行研究，经研究通过后报州政府办公室党组研究决定后实施。为做好年度绩效评价工作，规范和加强专项资金管理，切实提高资金使用的绩效和管理水平。按照规定的工作程序组织绩效评价自评，注重评价质量，撰写绩效评价报告，对评价结果进行整改，充分运用分析评价改进单位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（二）存在的问题及原因分析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绩效管理理念尚未牢固树立，绩效管理专业人员匮乏。单位对全面实施绩效管理认识不够，绩效水平不高，单位内部绩效管理工作力量薄弱，多数以财务人员牵头开展绩效管理，工作推动机制不全，业务人员业务能力和素质还有待进一步提升。二是对档案工作重视程度不高，意识淡薄。单位人员对绩效档案管理工作重视程度不够，不注重关键时间节点材料的鉴定归档，造成绩效管理工作档案缺失。</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六</w:t>
      </w:r>
      <w:r>
        <w:rPr>
          <w:rStyle w:val="Strong"/>
          <w:rFonts w:ascii="黑体" w:eastAsia="黑体" w:hAnsi="黑体" w:hint="eastAsia"/>
          <w:b w:val="0"/>
          <w:spacing w:val="-4"/>
          <w:sz w:val="32"/>
          <w:szCs w:val="32"/>
        </w:rPr>
        <w:t xml:space="preserve">、有关建议</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b w:val="0"/>
          <w:bCs w:val="0"/>
          <w:spacing w:val="-4"/>
          <w:sz w:val="32"/>
          <w:szCs w:val="32"/>
        </w:rPr>
        <w:t xml:space="preserve">一是加强培训，提高相关人员工作水平。采取多种培训形式对财务人员、业务科室人员进行集中培训，进一步树牢绩效观念，提高本单位工作人员的绩效管理能力和工作水平，为预算绩效管理相关工作的顺利开展提供保障。二是扎实推进档案规范化建设，提升档案管理水平。进一步完善项目评价资料。项目启动时同步做好档案的归纳与整理，及时整理、收集、汇总，健全档案资料。三是高度重视，加强领导。精心组织，健全项目绩效领导小组并对绩效评价工作进行指导、监督、检查，确保项目绩效评价反映项目完成真实情况。</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七</w:t>
      </w:r>
      <w:r>
        <w:rPr>
          <w:rStyle w:val="Strong"/>
          <w:rFonts w:ascii="黑体" w:eastAsia="黑体" w:hAnsi="黑体" w:hint="eastAsia"/>
          <w:b w:val="0"/>
          <w:spacing w:val="-4"/>
          <w:sz w:val="32"/>
          <w:szCs w:val="32"/>
        </w:rPr>
        <w:t xml:space="preserve">、其他需要说明的问题</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（一）本项目部分间接产生的效果无法准确在短期内衡量，因此很难认定项目产生的全部效果。通过指标来反映绩效，指标的科学性和全面性需要不断地完善和研究。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（二）评价结果作为安排政府预算、完善政策和改进管理的重要依据。原则上，对评价等级为优、良的，根据情况予以支持；对评价等级为中、差的，要完善政策、改进管理，根据情况核减预算。</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（三）评价结果分别编入政府决算和部门预算，报送本级人民代表大会常务委员会，并依法予以公开。</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对使用财政资金严重低效无效并造成重大损失的责任人，要按照相关规定追责问责。对绩效评价过程中发现的资金使用单位和个人的财政违法行为，依照《中华人民共和国预算法》《财政违法行为处罚处分条例》等有关规定追究责任，发现违纪违法问题线索的，应当及时移送纪检监察机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五）工作人员在绩效评价管理工作中存在违反《项目支出绩效评价管理办法》（财预〔2020〕10号）文件行为的，其他滥用职权、玩忽职守、徇私舞弊等违法违纪行为的，依照《中华人民共和国预算法》《中华人民共和国公务员法》《中华人民共和国监察法》《财政违法行为处罚处分条例》等国家有关规定追究相应责任，涉嫌犯罪的，依法移送司法机关处理。</w:t>
      </w: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sectPr>
      <w:footerReference w:type="default" r:id="rId2"/>
      <w:pgSz w:w="11906" w:h="16838" w:orient="portrait"/>
      <w:pgMar w:top="1440" w:right="1558" w:bottom="1440" w:left="1757" w:header="851" w:footer="992" w:gutter="0"/>
      <w:pgBorders/>
      <w:cols w:num="1" w:space="425">
        <w:col w:w="8591"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sdtPr>
    <w:sdtContent>
      <w:p>
        <w:pPr>
          <w:pStyle w:val="Footer"/>
          <w:jc w:val="center"/>
        </w:pPr>
        <w:r>
          <w:fldChar w:fldCharType="begin"/>
        </w:r>
        <w:r>
          <w:instrText xml:space="preserve">PAGE   \* MERGEFORMAT</w:instrText>
        </w:r>
        <w:r>
          <w:fldChar w:fldCharType="separate"/>
        </w:r>
        <w:r>
          <w:rPr>
            <w:lang w:val="zh-CN"/>
          </w:rPr>
          <w:t xml:space="preserve">2</w:t>
        </w:r>
        <w:r>
          <w:fldChar w:fldCharType="end"/>
        </w:r>
      </w:p>
    </w:sdtContent>
  </w:sdt>
  <w:p>
    <w:pPr>
      <w:pStyle w:val="Foote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720" w:hanging="360"/>
      </w:pPr>
      <w:rPr>
        <w:rFonts w:ascii="Times New Roman" w:eastAsia="Times New Roman" w:hAnsi="Times New Roman" w:cs="Times New Roman"/>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720" w:hanging="360"/>
      </w:pPr>
      <w:rPr>
        <w:rFonts w:ascii="Symbol" w:eastAsia="Symbol" w:hAnsi="Symbol" w:cs="Symbol"/>
      </w:rPr>
    </w:lvl>
    <w:lvl w:ilvl="1">
      <w:start w:val="1"/>
      <w:numFmt w:val="bullet"/>
      <w:suff w:val="tab"/>
      <w:lvlText w:val="o"/>
      <w:lvlJc w:val="left"/>
      <w:pPr>
        <w:ind w:left="1440" w:hanging="360"/>
      </w:pPr>
      <w:rPr>
        <w:rFonts w:ascii="Courier New" w:eastAsia="Courier New" w:hAnsi="Courier New" w:cs="Courier New"/>
      </w:rPr>
    </w:lvl>
    <w:lvl w:ilvl="2">
      <w:start w:val="1"/>
      <w:numFmt w:val="bullet"/>
      <w:suff w:val="tab"/>
      <w:lvlText w:val=""/>
      <w:lvlJc w:val="left"/>
      <w:pPr>
        <w:ind w:left="2160" w:hanging="360"/>
      </w:pPr>
      <w:rPr>
        <w:rFonts w:ascii="Wingdings" w:eastAsia="Wingdings" w:hAnsi="Wingdings" w:cs="Wingdings"/>
      </w:rPr>
    </w:lvl>
    <w:lvl w:ilvl="3">
      <w:start w:val="1"/>
      <w:numFmt w:val="bullet"/>
      <w:suff w:val="tab"/>
      <w:lvlText w:val=""/>
      <w:lvlJc w:val="left"/>
      <w:pPr>
        <w:ind w:left="2880" w:hanging="360"/>
      </w:pPr>
      <w:rPr>
        <w:rFonts w:ascii="Symbol" w:eastAsia="Symbol" w:hAnsi="Symbol" w:cs="Symbol"/>
      </w:rPr>
    </w:lvl>
    <w:lvl w:ilvl="4">
      <w:start w:val="1"/>
      <w:numFmt w:val="bullet"/>
      <w:suff w:val="tab"/>
      <w:lvlText w:val="o"/>
      <w:lvlJc w:val="left"/>
      <w:pPr>
        <w:ind w:left="3600" w:hanging="360"/>
      </w:pPr>
      <w:rPr>
        <w:rFonts w:ascii="Courier New" w:eastAsia="Courier New" w:hAnsi="Courier New" w:cs="Courier New"/>
      </w:rPr>
    </w:lvl>
    <w:lvl w:ilvl="5">
      <w:start w:val="1"/>
      <w:numFmt w:val="bullet"/>
      <w:suff w:val="tab"/>
      <w:lvlText w:val=""/>
      <w:lvlJc w:val="left"/>
      <w:pPr>
        <w:ind w:left="4320" w:hanging="360"/>
      </w:pPr>
      <w:rPr>
        <w:rFonts w:ascii="Wingdings" w:eastAsia="Wingdings" w:hAnsi="Wingdings" w:cs="Wingdings"/>
      </w:rPr>
    </w:lvl>
    <w:lvl w:ilvl="6">
      <w:start w:val="1"/>
      <w:numFmt w:val="bullet"/>
      <w:suff w:val="tab"/>
      <w:lvlText w:val=""/>
      <w:lvlJc w:val="left"/>
      <w:pPr>
        <w:ind w:left="5040" w:hanging="360"/>
      </w:pPr>
      <w:rPr>
        <w:rFonts w:ascii="Symbol" w:eastAsia="Symbol" w:hAnsi="Symbol" w:cs="Symbol"/>
      </w:rPr>
    </w:lvl>
    <w:lvl w:ilvl="7">
      <w:start w:val="1"/>
      <w:numFmt w:val="bullet"/>
      <w:suff w:val="tab"/>
      <w:lvlText w:val="o"/>
      <w:lvlJc w:val="left"/>
      <w:pPr>
        <w:ind w:left="5760" w:hanging="360"/>
      </w:pPr>
      <w:rPr>
        <w:rFonts w:ascii="Courier New" w:eastAsia="Courier New" w:hAnsi="Courier New" w:cs="Courier New"/>
      </w:rPr>
    </w:lvl>
    <w:lvl w:ilvl="8">
      <w:start w:val="1"/>
      <w:numFmt w:val="bullet"/>
      <w:suff w:val="tab"/>
      <w:lvlText w:val=""/>
      <w:lvlJc w:val="left"/>
      <w:pPr>
        <w:ind w:left="6480" w:hanging="360"/>
      </w:pPr>
      <w:rPr>
        <w:rFonts w:ascii="Wingdings" w:eastAsia="Wingdings" w:hAnsi="Wingdings" w:cs="Wingdings"/>
      </w:rPr>
    </w:lvl>
  </w:abstractNum>
  <w:abstractNum w:abstractNumId="2">
    <w:multiLevelType w:val="singleLevel"/>
    <w:lvl w:ilvl="0">
      <w:start w:val="5"/>
      <w:numFmt w:val="chineseCounting"/>
      <w:suff w:val="nothing"/>
      <w:lvlText w:val="%1、"/>
      <w:lvlJc w:val="left"/>
      <w:rPr>
        <w:rFonts w:hint="eastAsi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10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MzBlY2RlZTc4MzFlYzYzZjZmMTg4MDMwODUwYTE2N2U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lsdException w:name="footer" w:semiHidden="0"/>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uiPriority="59"/>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Char"/>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Char"/>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Char"/>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Char"/>
    <w:uiPriority w:val="9"/>
    <w:semiHidden/>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Char"/>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Char"/>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Char"/>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Char"/>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Char"/>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rPr/>
  </w:style>
  <w:style w:type="table" w:default="1" w:styleId="NormalTable">
    <w:name w:val="Normal Table"/>
    <w:uiPriority w:val="99"/>
    <w:semiHidden/>
    <w:unhideWhenUsed/>
    <w:rPr/>
    <w:tblPr>
      <w:tblCellMar>
        <w:top w:w="0" w:type="dxa"/>
        <w:left w:w="108" w:type="dxa"/>
        <w:bottom w:w="0" w:type="dxa"/>
        <w:right w:w="108" w:type="dxa"/>
      </w:tblCellMar>
    </w:tblPr>
  </w:style>
  <w:style w:type="paragraph" w:styleId="BalloonText">
    <w:name w:val="Balloon Text"/>
    <w:basedOn w:val="Normal"/>
    <w:link w:val="批注框文本Char"/>
    <w:uiPriority w:val="99"/>
    <w:semiHidden/>
    <w:unhideWhenUsed/>
    <w:rPr>
      <w:sz w:val="18"/>
      <w:szCs w:val="18"/>
    </w:rPr>
  </w:style>
  <w:style w:type="paragraph" w:styleId="Footer">
    <w:name w:val="Footer"/>
    <w:basedOn w:val="Normal"/>
    <w:link w:val="页脚Char"/>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Char"/>
    <w:autoRedefine/>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Char"/>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Char"/>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Char">
    <w:name w:val="标题 1 Char"/>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Char">
    <w:name w:val="标题 2 Char"/>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Char">
    <w:name w:val="标题 3 Char"/>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Char">
    <w:name w:val="标题 4 Char"/>
    <w:basedOn w:val="DefaultParagraphFont"/>
    <w:link w:val="Heading4"/>
    <w:uiPriority w:val="9"/>
    <w:semiHidden/>
    <w:qFormat/>
    <w:rPr>
      <w:b/>
      <w:bCs/>
      <w:sz w:val="28"/>
      <w:szCs w:val="28"/>
    </w:rPr>
  </w:style>
  <w:style w:type="character" w:customStyle="1" w:styleId="标题5Char">
    <w:name w:val="标题 5 Char"/>
    <w:basedOn w:val="DefaultParagraphFont"/>
    <w:link w:val="Heading5"/>
    <w:uiPriority w:val="9"/>
    <w:semiHidden/>
    <w:qFormat/>
    <w:rPr>
      <w:b/>
      <w:bCs/>
      <w:i/>
      <w:iCs/>
      <w:sz w:val="26"/>
      <w:szCs w:val="26"/>
    </w:rPr>
  </w:style>
  <w:style w:type="character" w:customStyle="1" w:styleId="标题6Char">
    <w:name w:val="标题 6 Char"/>
    <w:basedOn w:val="DefaultParagraphFont"/>
    <w:link w:val="Heading6"/>
    <w:uiPriority w:val="9"/>
    <w:semiHidden/>
    <w:qFormat/>
    <w:rPr>
      <w:b/>
      <w:bCs/>
    </w:rPr>
  </w:style>
  <w:style w:type="character" w:customStyle="1" w:styleId="标题7Char">
    <w:name w:val="标题 7 Char"/>
    <w:basedOn w:val="DefaultParagraphFont"/>
    <w:link w:val="Heading7"/>
    <w:uiPriority w:val="9"/>
    <w:semiHidden/>
    <w:rPr>
      <w:sz w:val="24"/>
      <w:szCs w:val="24"/>
    </w:rPr>
  </w:style>
  <w:style w:type="character" w:customStyle="1" w:styleId="标题8Char">
    <w:name w:val="标题 8 Char"/>
    <w:basedOn w:val="DefaultParagraphFont"/>
    <w:link w:val="Heading8"/>
    <w:uiPriority w:val="9"/>
    <w:semiHidden/>
    <w:qFormat/>
    <w:rPr>
      <w:i/>
      <w:iCs/>
      <w:sz w:val="24"/>
      <w:szCs w:val="24"/>
    </w:rPr>
  </w:style>
  <w:style w:type="character" w:customStyle="1" w:styleId="标题9Char">
    <w:name w:val="标题 9 Char"/>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Char">
    <w:name w:val="标题 Char"/>
    <w:basedOn w:val="DefaultParagraphFont"/>
    <w:link w:val="Title"/>
    <w:uiPriority w:val="10"/>
    <w:rPr>
      <w:rFonts w:ascii="Cambria" w:eastAsia="宋体" w:hAnsi="Cambria" w:asciiTheme="majorHAnsi" w:eastAsiaTheme="majorEastAsia" w:hAnsiTheme="majorHAnsi"/>
      <w:b/>
      <w:bCs/>
      <w:kern w:val="28"/>
      <w:sz w:val="32"/>
      <w:szCs w:val="32"/>
    </w:rPr>
  </w:style>
  <w:style w:type="character" w:customStyle="1" w:styleId="副标题Char">
    <w:name w:val="副标题 Char"/>
    <w:basedOn w:val="DefaultParagraphFont"/>
    <w:link w:val="Subtitle"/>
    <w:uiPriority w:val="11"/>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Char"/>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Char">
    <w:name w:val="引用 Char"/>
    <w:basedOn w:val="DefaultParagraphFont"/>
    <w:link w:val="Quote"/>
    <w:uiPriority w:val="29"/>
    <w:rPr>
      <w:i/>
      <w:sz w:val="24"/>
      <w:szCs w:val="24"/>
    </w:rPr>
  </w:style>
  <w:style w:type="paragraph" w:styleId="IntenseQuote">
    <w:name w:val="Intense Quote"/>
    <w:basedOn w:val="Normal"/>
    <w:next w:val="Normal"/>
    <w:link w:val="明显引用Char"/>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Char">
    <w:name w:val="明显引用 Char"/>
    <w:basedOn w:val="DefaultParagraphFont"/>
    <w:link w:val="IntenseQuote"/>
    <w:uiPriority w:val="30"/>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Char">
    <w:name w:val="页眉 Char"/>
    <w:basedOn w:val="DefaultParagraphFont"/>
    <w:link w:val="Header"/>
    <w:uiPriority w:val="99"/>
    <w:rPr>
      <w:rFonts w:ascii="Calibri" w:eastAsia="宋体" w:hAnsi="Calibri"/>
      <w:kern w:val="2"/>
      <w:sz w:val="18"/>
      <w:szCs w:val="18"/>
    </w:rPr>
  </w:style>
  <w:style w:type="character" w:customStyle="1" w:styleId="页脚Char">
    <w:name w:val="页脚 Char"/>
    <w:basedOn w:val="DefaultParagraphFont"/>
    <w:link w:val="Footer"/>
    <w:uiPriority w:val="99"/>
    <w:rPr>
      <w:rFonts w:ascii="Calibri" w:eastAsia="宋体" w:hAnsi="Calibri"/>
      <w:kern w:val="2"/>
      <w:sz w:val="18"/>
      <w:szCs w:val="18"/>
    </w:rPr>
  </w:style>
  <w:style w:type="character" w:customStyle="1" w:styleId="批注框文本Char">
    <w:name w:val="批注框文本 Char"/>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footer" Target="footer1.xml"/><Relationship Id="rId3" Type="http://schemas.openxmlformats.org/officeDocument/2006/relationships/theme" Target="theme/theme1.xml"/><Relationship Id="rId4" Type="http://schemas.openxmlformats.org/officeDocument/2006/relationships/styles" Target="styles.xml"/><Relationship Id="rId5" Type="http://schemas.openxmlformats.org/officeDocument/2006/relationships/webSettings" Target="webSettings.xml"/><Relationship Id="rId6" Type="http://schemas.openxmlformats.org/officeDocument/2006/relationships/numbering" Target="numbering.xml"/><Relationship Id="rId7" Type="http://schemas.openxmlformats.org/officeDocument/2006/relationships/fontTable" Target="fontTable.xml"/><Relationship Id="rId8"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86A4BE803B594D54BB30BEB283D7FDDD_13</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Normal.dotm</Template>
  <TotalTime>7</TotalTime>
  <Pages>3</Pages>
  <Words>270</Words>
  <Characters>578</Characters>
  <Application>WPS Office_12.1.0.16929_F1E327BC-269C-435d-A152-05C5408002CA</Application>
  <DocSecurity>0</DocSecurity>
  <Lines>4</Lines>
  <Paragraphs>1</Paragraphs>
  <CharactersWithSpaces>592</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Azureblue</cp:lastModifiedBy>
  <cp:revision>20</cp:revision>
  <cp:lastPrinted>2018-12-31T10:56:00Z</cp:lastPrinted>
  <dcterms:created xsi:type="dcterms:W3CDTF">2018-08-15T02:06:00Z</dcterms:created>
  <dcterms:modified xsi:type="dcterms:W3CDTF">2025-03-20T04:43:17Z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2052-12.1.0.16929</vt:lpwstr>
  </property>
  <property fmtid="{D5CDD505-2E9C-101B-9397-08002B2CF9AE}" pid="3" name="ICV">
    <vt:lpwstr>86A4BE803B594D54BB30BEB283D7FDDD_13</vt:lpwstr>
  </property>
</Properties>
</file>