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昌吉回族自治州青少年活动中心2024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1、运用各种文化艺术手段，寓教于乐，对青少年儿童进行共产主义教育、文化科学知识教育、生产劳动教育及体育、美育等方面的业余教育。</w:t>
      </w:r>
    </w:p>
    <w:p>
      <w:pPr>
        <w:spacing w:line="580" w:lineRule="exact"/>
        <w:ind w:firstLine="640"/>
        <w:jc w:val="both"/>
      </w:pPr>
      <w:r>
        <w:rPr>
          <w:rFonts w:ascii="仿宋_GB2312" w:hAnsi="仿宋_GB2312" w:eastAsia="仿宋_GB2312"/>
          <w:sz w:val="32"/>
        </w:rPr>
        <w:t>2、以社会效益、人才效益为主导，在保证社会效益的前提下，努力实现社会效益、经济效益和人才效益的有机统一。</w:t>
      </w:r>
    </w:p>
    <w:p>
      <w:pPr>
        <w:spacing w:line="580" w:lineRule="exact"/>
        <w:ind w:firstLine="640"/>
        <w:jc w:val="both"/>
      </w:pPr>
      <w:r>
        <w:rPr>
          <w:rFonts w:ascii="仿宋_GB2312" w:hAnsi="仿宋_GB2312" w:eastAsia="仿宋_GB2312"/>
          <w:sz w:val="32"/>
        </w:rPr>
        <w:t>3、通过青少年活动中心和校内外开展形式多样、内容丰富的兴趣培训班、科普活动班、青少年军警校、法制税校、春夏秋冬令营等，丰富青少年儿童的生活，发展对他们科学、技术、体育、艺术等方面的兴趣和创造才能，为培养社会主义合格的接班人创造良好的学习环境。</w:t>
      </w:r>
    </w:p>
    <w:p>
      <w:pPr>
        <w:spacing w:line="580" w:lineRule="exact"/>
        <w:ind w:firstLine="640"/>
        <w:jc w:val="both"/>
      </w:pPr>
      <w:r>
        <w:rPr>
          <w:rFonts w:ascii="仿宋_GB2312" w:hAnsi="仿宋_GB2312" w:eastAsia="仿宋_GB2312"/>
          <w:sz w:val="32"/>
        </w:rPr>
        <w:t>4、组织自治州青少年儿童与州内外青少年儿童的交流与学习，组织参加全国、区、州大赛，增进地区间青少年儿童的了解与友谊。</w:t>
      </w:r>
    </w:p>
    <w:p>
      <w:pPr>
        <w:spacing w:line="580" w:lineRule="exact"/>
        <w:ind w:firstLine="640"/>
        <w:jc w:val="both"/>
      </w:pPr>
      <w:r>
        <w:rPr>
          <w:rFonts w:ascii="仿宋_GB2312" w:hAnsi="仿宋_GB2312" w:eastAsia="仿宋_GB2312"/>
          <w:sz w:val="32"/>
        </w:rPr>
        <w:t>5、指导各县市青少年活动中心（青少年宫）的工作。</w:t>
      </w:r>
    </w:p>
    <w:p>
      <w:pPr>
        <w:spacing w:line="580" w:lineRule="exact"/>
        <w:ind w:firstLine="640"/>
        <w:jc w:val="both"/>
      </w:pPr>
      <w:r>
        <w:rPr>
          <w:rFonts w:ascii="仿宋_GB2312" w:hAnsi="仿宋_GB2312" w:eastAsia="仿宋_GB2312"/>
          <w:sz w:val="32"/>
        </w:rPr>
        <w:t>6、承办昌吉州青少年活动中心交办的各项工作。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昌吉回族自治州青少年活动中心2024年度，实有人数5人，其中：在职人员5人，减少2人；离休人员0人，增加0人；退休人员0人,减少1人。</w:t>
      </w:r>
    </w:p>
    <w:p>
      <w:pPr>
        <w:spacing w:line="580" w:lineRule="exact"/>
        <w:ind w:firstLine="640"/>
        <w:jc w:val="both"/>
      </w:pPr>
      <w:r>
        <w:rPr>
          <w:rFonts w:ascii="仿宋_GB2312" w:hAnsi="仿宋_GB2312" w:eastAsia="仿宋_GB2312"/>
          <w:sz w:val="32"/>
        </w:rPr>
        <w:t>昌吉回族自治州青少年活动中心无下属预算单位，下设1个科室，分别是：办公室。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2024年度收入总计179.10万元，</w:t>
      </w:r>
      <w:r>
        <w:rPr>
          <w:rFonts w:ascii="仿宋_GB2312" w:hAnsi="仿宋_GB2312" w:eastAsia="仿宋_GB2312"/>
          <w:b w:val="0"/>
          <w:sz w:val="32"/>
        </w:rPr>
        <w:t>其中：本年收入合计179.10万元，使用非财政拨款结余（含专用结余）0.00万元，年初结转和结余0.00万元。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2024年度支出总计179.10万元，</w:t>
      </w:r>
      <w:r>
        <w:rPr>
          <w:rFonts w:ascii="仿宋_GB2312" w:hAnsi="仿宋_GB2312" w:eastAsia="仿宋_GB2312"/>
          <w:b w:val="0"/>
          <w:sz w:val="32"/>
        </w:rPr>
        <w:t>其中：本年支出合计150.66万元，结余分配28.44万元，年末结转和结余0.00万元。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减少27.21万元，下降13.19%，主要原因是：本年在职人员减少，相关人员经费较上年减少。本年单位培训费减少。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本年收入179.10万元，</w:t>
      </w:r>
      <w:r>
        <w:rPr>
          <w:rFonts w:ascii="仿宋_GB2312" w:hAnsi="仿宋_GB2312" w:eastAsia="仿宋_GB2312"/>
          <w:b w:val="0"/>
          <w:sz w:val="32"/>
        </w:rPr>
        <w:t>其中：财政拨款收入96.80万元，占54.05%；上级补助收入0.00万元，占0.00%；事业收入0.00万元，占0.00%；经营收入0.00万元，占0.00%；附属单位上缴收入0.00万元，占0.00%；其他收入82.30万元，占45.95%。</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本年支出150.66万元，</w:t>
      </w:r>
      <w:r>
        <w:rPr>
          <w:rFonts w:ascii="仿宋_GB2312" w:hAnsi="仿宋_GB2312" w:eastAsia="仿宋_GB2312"/>
          <w:b w:val="0"/>
          <w:sz w:val="32"/>
        </w:rPr>
        <w:t>其中：基本支出150.66万元，占100.00%；项目支出0.00万元，占0.00%；上缴上级支出0.00万元，占0.00%；经营支出0.00万元，占0.00%；对附属单位补助支出0.00万元，占0.00%。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2024年度财政拨款收入总计96.80万元，</w:t>
      </w:r>
      <w:r>
        <w:rPr>
          <w:rFonts w:ascii="仿宋_GB2312" w:hAnsi="仿宋_GB2312" w:eastAsia="仿宋_GB2312"/>
          <w:b w:val="0"/>
          <w:sz w:val="32"/>
        </w:rPr>
        <w:t>其中：年初财政拨款结转和结余0.00万元，本年财政拨款收入96.80万元。</w:t>
      </w:r>
      <w:r>
        <w:rPr>
          <w:rFonts w:ascii="仿宋_GB2312" w:hAnsi="仿宋_GB2312" w:eastAsia="仿宋_GB2312"/>
          <w:b/>
          <w:sz w:val="32"/>
        </w:rPr>
        <w:t>财政拨款支出总计96.80万元，</w:t>
      </w:r>
      <w:r>
        <w:rPr>
          <w:rFonts w:ascii="仿宋_GB2312" w:hAnsi="仿宋_GB2312" w:eastAsia="仿宋_GB2312"/>
          <w:b w:val="0"/>
          <w:sz w:val="32"/>
        </w:rPr>
        <w:t>其中：年末财政拨款结转和结余0.00万元，本年财政拨款支出96.80万元。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减少5.44万元，下降5.32%，主要原因是：本年在职人员减少，相关人员经费较上年减少。</w:t>
      </w:r>
      <w:r>
        <w:rPr>
          <w:rFonts w:ascii="仿宋_GB2312" w:hAnsi="仿宋_GB2312" w:eastAsia="仿宋_GB2312"/>
          <w:b/>
          <w:sz w:val="32"/>
        </w:rPr>
        <w:t>与年初预算相比，</w:t>
      </w:r>
      <w:r>
        <w:rPr>
          <w:rFonts w:ascii="仿宋_GB2312" w:hAnsi="仿宋_GB2312" w:eastAsia="仿宋_GB2312"/>
          <w:b w:val="0"/>
          <w:sz w:val="32"/>
        </w:rPr>
        <w:t>年初预算数106.64万元，决算数96.80万元，预决算差异率-9.23%，主要原因是：本年在职人员减少，年中调减人员经费，导致预决算存在差异。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2024年度一般公共预算财政拨款支出96.80万元，</w:t>
      </w:r>
      <w:r>
        <w:rPr>
          <w:rFonts w:ascii="仿宋_GB2312" w:hAnsi="仿宋_GB2312" w:eastAsia="仿宋_GB2312"/>
          <w:b w:val="0"/>
          <w:sz w:val="32"/>
        </w:rPr>
        <w:t>占本年支出合计的64.25%。</w:t>
      </w:r>
      <w:r>
        <w:rPr>
          <w:rFonts w:ascii="仿宋_GB2312" w:hAnsi="仿宋_GB2312" w:eastAsia="仿宋_GB2312"/>
          <w:b/>
          <w:sz w:val="32"/>
        </w:rPr>
        <w:t>与上年相比，</w:t>
      </w:r>
      <w:r>
        <w:rPr>
          <w:rFonts w:ascii="仿宋_GB2312" w:hAnsi="仿宋_GB2312" w:eastAsia="仿宋_GB2312"/>
          <w:b w:val="0"/>
          <w:sz w:val="32"/>
        </w:rPr>
        <w:t>减少5.44万元，下降5.32%，主要原因是：本年在职人员减少，相关人员经费较上年减少。</w:t>
      </w:r>
      <w:r>
        <w:rPr>
          <w:rFonts w:ascii="仿宋_GB2312" w:hAnsi="仿宋_GB2312" w:eastAsia="仿宋_GB2312"/>
          <w:b/>
          <w:sz w:val="32"/>
        </w:rPr>
        <w:t>与年初预算相比,</w:t>
      </w:r>
      <w:r>
        <w:rPr>
          <w:rFonts w:ascii="仿宋_GB2312" w:hAnsi="仿宋_GB2312" w:eastAsia="仿宋_GB2312"/>
          <w:b w:val="0"/>
          <w:sz w:val="32"/>
        </w:rPr>
        <w:t>年初预算数106.64万元，决算数96.80万元，预决算差异率-9.23%，主要原因是：本年在职人员减少，年中调减人员经费，导致预决算存在差异。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1.一般公共服务支出(类)64.08万元,占66.20%。</w:t>
      </w:r>
    </w:p>
    <w:p>
      <w:pPr>
        <w:spacing w:line="580" w:lineRule="exact"/>
        <w:ind w:firstLine="640"/>
        <w:jc w:val="both"/>
      </w:pPr>
      <w:r>
        <w:rPr>
          <w:rFonts w:ascii="仿宋_GB2312" w:hAnsi="仿宋_GB2312" w:eastAsia="仿宋_GB2312"/>
          <w:b w:val="0"/>
          <w:sz w:val="32"/>
        </w:rPr>
        <w:t>2.社会保障和就业支出(类)17.28万元,占17.85%。</w:t>
      </w:r>
    </w:p>
    <w:p>
      <w:pPr>
        <w:spacing w:line="580" w:lineRule="exact"/>
        <w:ind w:firstLine="640"/>
        <w:jc w:val="both"/>
      </w:pPr>
      <w:r>
        <w:rPr>
          <w:rFonts w:ascii="仿宋_GB2312" w:hAnsi="仿宋_GB2312" w:eastAsia="仿宋_GB2312"/>
          <w:b w:val="0"/>
          <w:sz w:val="32"/>
        </w:rPr>
        <w:t>3.卫生健康支出(类)6.13万元,占6.33%。</w:t>
      </w:r>
    </w:p>
    <w:p>
      <w:pPr>
        <w:spacing w:line="580" w:lineRule="exact"/>
        <w:ind w:firstLine="640"/>
        <w:jc w:val="both"/>
      </w:pPr>
      <w:r>
        <w:rPr>
          <w:rFonts w:ascii="仿宋_GB2312" w:hAnsi="仿宋_GB2312" w:eastAsia="仿宋_GB2312"/>
          <w:b w:val="0"/>
          <w:sz w:val="32"/>
        </w:rPr>
        <w:t>4.住房保障支出(类)9.30万元,占9.61%。</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1.一般公共服务支出(类)群众团体事务(款)事业运行(项):支出决算数为64.08万元，比上年决算减少10.69万元，下降14.30%,主要原因是：本年在职人员减少，相应人员经费较上年减少。</w:t>
      </w:r>
    </w:p>
    <w:p>
      <w:pPr>
        <w:spacing w:line="580" w:lineRule="exact"/>
        <w:ind w:firstLine="640"/>
        <w:jc w:val="both"/>
      </w:pPr>
      <w:r>
        <w:rPr>
          <w:rFonts w:ascii="仿宋_GB2312" w:hAnsi="仿宋_GB2312" w:eastAsia="仿宋_GB2312"/>
          <w:b w:val="0"/>
          <w:sz w:val="32"/>
        </w:rPr>
        <w:t>2.社会保障和就业支出(类)行政事业单位养老支出(款)事业单位离退休(项):支出决算数为0.09万元，比上年决算减少0.32万元，下降78.05%,主要原因是：上年补发退休人员绩效，本年无补发退休人员绩效，导致相关经费较上年减少。</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11.46万元，比上年决算增加2.81万元，增长32.49%,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5.73万元，比上年决算增加1.41万元，增长32.64%,主要原因是：本年在职人员工资基数调增，职业年金缴费基数上涨，相应支出增加。</w:t>
      </w:r>
    </w:p>
    <w:p>
      <w:pPr>
        <w:spacing w:line="580" w:lineRule="exact"/>
        <w:ind w:firstLine="640"/>
        <w:jc w:val="both"/>
      </w:pPr>
      <w:r>
        <w:rPr>
          <w:rFonts w:ascii="仿宋_GB2312" w:hAnsi="仿宋_GB2312" w:eastAsia="仿宋_GB2312"/>
          <w:b w:val="0"/>
          <w:sz w:val="32"/>
        </w:rPr>
        <w:t>5.卫生健康支出(类)行政事业单位医疗(款)事业单位医疗(项):支出决算数为5.73万元，比上年决算增加1.18万元，增长25.93%,主要原因是：本年在职人员工资基数调增，医疗缴费基数上涨，相应支出增加。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6.卫生健康支出(类)行政事业单位医疗(款)公务员医疗补助(项):支出决算数为0.36万元，比上年决算增加0.17万元，增长89.47%,主要原因是：本年在职人员工资基数调增，医疗缴费基数上涨，相应支出增加。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7.卫生健康支出(类)行政事业单位医疗(款)其他行政事业单位医疗支出(项):支出决算数为0.05万元，比上年决算增加0.02万元，增长66.67%,主要原因是：本年在职人员工资基数调增，医疗缴费基数上涨，相应支出增加。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8.住房保障支出(类)住房改革支出(款)住房公积金(项):支出决算数为9.30万元，比上年决算减少0.02万元，下降0.21%,主要原因是：本年在职人员减少，住房公积金缴费较上年减少。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2024年度一般公共预算财政拨款基本支出96.80万元，其中：</w:t>
      </w:r>
      <w:r>
        <w:rPr>
          <w:rFonts w:ascii="仿宋_GB2312" w:hAnsi="仿宋_GB2312" w:eastAsia="仿宋_GB2312"/>
          <w:b/>
          <w:sz w:val="32"/>
        </w:rPr>
        <w:t>人员经费95.43万元，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包括：基本工资、津贴补贴、奖金、绩效工资、机关事业单位基本养老保险缴费、职业年金缴费、职工基本医疗保险缴费、公务员医疗补助缴费、其他社会保障缴费、住房公积金、生活补助。</w:t>
      </w:r>
    </w:p>
    <w:p>
      <w:pPr>
        <w:spacing w:line="580" w:lineRule="exact"/>
        <w:ind w:firstLine="640"/>
        <w:jc w:val="both"/>
      </w:pPr>
      <w:r>
        <w:rPr>
          <w:rFonts w:ascii="仿宋_GB2312" w:hAnsi="仿宋_GB2312" w:eastAsia="仿宋_GB2312"/>
          <w:b/>
          <w:sz w:val="32"/>
        </w:rPr>
        <w:t>公用经费1.36万元，</w:t>
      </w:r>
      <w:r>
        <w:rPr>
          <w:rFonts w:ascii="仿宋_GB2312" w:hAnsi="仿宋_GB2312" w:eastAsia="仿宋_GB2312"/>
          <w:b w:val="0"/>
          <w:sz w:val="32"/>
        </w:rPr>
        <w:t>包括：办公费、福利费、其他商品和服务支出。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公务用车购置及运行维护费支出0.00万元，占0.00%，比上年增加0.00万元，增长0.00%，主要原因是：2023年与2024年均未安排公务用车购置及运行维护费支出。</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0辆，与公务用车保有量差异原因是：本单位无固定资产车辆。</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2024年度昌吉回族自治州青少年活动中心（事业单位）公用经费支出1.36万元，比上年增加0.33万元，增长32.04%，主要原因是：本年业务量增加，公用经费增加。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2024年度政府采购支出总额0.00万元，其中：政府采购货物支出0.00万元、政府采购工程支出0.00万元、政府采购服务支出0.00万元。</w:t>
      </w:r>
    </w:p>
    <w:p>
      <w:pPr>
        <w:spacing w:line="580" w:lineRule="exact"/>
        <w:ind w:firstLine="640"/>
        <w:jc w:val="both"/>
      </w:pPr>
      <w:r>
        <w:rPr>
          <w:rFonts w:ascii="仿宋_GB2312" w:hAnsi="仿宋_GB2312" w:eastAsia="仿宋_GB2312"/>
          <w:b w:val="0"/>
          <w:sz w:val="32"/>
        </w:rPr>
        <w:t>授予中小企业合同金额0.00万元，占政府采购支出总额的0.00%，其中：授予小微企业合同金额0.00万元，占政府采购支出总额的0.00%。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我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179.10万元，实际执行总额150.66万元；预算绩效评价项目1个，全年预算数38.67万元，全年执行数34.28万元。预算绩效管理取得的成效：一是通过单位项目资金的实施，组织开展青少年丰富多彩的校外教育活动，切实把活动公益性、趣味性原则落到实处，做好青少年活动的组织管理，让更多的学生走入校外活动中心接受教育。二是通过绩效目标的实施，不断提高学生的综合素质，开展科技、劳动社团建设工作，不断丰富学生课外实践活动内容。发现的问题及原因：一是参加中心举办快乐假期活动的学生偏少，家长对快乐假期活动缺乏了解，送孩子参加活动的愿望不强烈，导致快乐假期活动覆盖面偏窄，影响活动质量。二是由于中心活动基本安排在周末、寒暑假时间段，聘请教师存在一定的难度，很难安排水平较高的教师负责授课工作，导致课程缺乏对家长和学生的吸引力，从而影响活动质量。下一步改进措施：一是继续完善运行机制，增强服务能力，提供最佳服务。青少年校外活动是学校工作的有效延伸，同学校有着密不可分的关系。在平时的工作中，定期和各个学校联系，相互协作，相互配合，共同为青少年的成长服务，使学校教育在这里得到有力地补充与强化。进一步增强服务意识，改善服务方式，提高服务质量和能力，扩大服务范围和项目。二是更新校外教育工作理念，把握机遇，结合实际选好校外活动项目，积极组织学生研学实践活动，办好校外教育，形成校外与校内教育的联动，优势互补，促进学生全面发展，共同进步。三是.加强宣传，进一步扩大社会影响，优化服务理念，提高质量和水平。经常了解青少年学生的需求，了解广大家长的呼声，加强与家长和社会的沟通，广泛征求意见和建议，促进中心的健康和谐发展。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昌吉回族自治州青少年活动中心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84.12%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8.4</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106.64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106.64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58.17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72.46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53.86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164.81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179.10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150.66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运用各种文化艺术手段，寓教于乐，对青少年儿童进行共产主义教育、文化科学知识教育、生产劳动教育及体育、美育等方面的业余教育。以社会效益、人才效益为主导，在保证社会效益的前提下，努力实现社会效益、经济效益和人才效益的有机统一。</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179.10万元，全年执行数为150.66万元，总预算执行率为84.12%。一是2023年参加昌吉州青少年活动中心艺术培训班总人数达到358人次，达到加大宣传力度，扩大招生规模的预期；二是举办各类艺术培训班次22班次；三是举办各类艺术培训聘用教师人数2人；四是举办各类艺术培训班课程种类5种；五是本年新增课程种类2种，达到创新工作思路、拓宽课程种类的预期；六是各班参加培训学生结课率达到100%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2024年参加昌吉州青少年活动中心艺术培训班总人次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昌吉州青少年活动中心2021年至2023年工作开展情况及2024年度工作计划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358人/次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举办各类艺术培训班次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&gt;=5班次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昌吉州青少年活动中心2021年至2023年工作开展情况及2024年度工作计划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22班次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举办各类艺术培训聘用教师人数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昌吉州青少年活动中心2021年至2023年工作开展情况及2024年度工作计划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举办各类艺术培训班课程种类</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昌吉州青少年活动中心2021年至2023年工作开展情况及2024年度工作计划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本年新增课程种类</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昌吉州青少年活动中心2021年至2023年工作开展情况及2024年度工作计划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各班参加培训学生结课率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昌吉州青少年活动中心2021年至2023年工作开展情况及2024年度工作计划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中国共产主义青年团昌吉回族自治州委员会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昌吉回族自治州青少年活动中心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38.67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88.65%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7.16</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38.67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保障单位正常运转，确保各类艺术培训正常进行。保障各班培训开展人数5人以上；保障办公人员数量7人；保障单位运转，提升服务质量。</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截止2024年12月31日，单位各项业务工作顺利开展，各类艺术培训正常进行，各班培训实际开展人数6人，保障办公人员数量7人。通过该项目的实施提升了服务质量，保障了单位运转。</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保障各班培训开展人数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保障机关正常运行率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年初工作计划设置保守，实际完成情况较好，达到100%，超过预期完成值，因此产生偏差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各项经费支付及时率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年初工作计划设置保守，实际完成情况较好，达到100%，超过预期完成值，因此产生偏差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保各项刚性支出及代课教师劳务费发放等</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87.49%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由于部分老师发票未及时开出，导致劳务费支付出现偏差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保其他运转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7.31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由于今年部分工作做了调整，未按年初计划实行，导致经费使用出现偏差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保障单位运转，提升服务质量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未达监控节点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单位职工满意率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未达监控节点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年初设置保守，实际实施情况较好，满意度达100%，超过预期完成值，因此产生偏差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89.41分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本单位2024年度无政府采购支出，授予中小企业合同金额0.00万元。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