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昌吉回族自治州能源安全监测中心2024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1.主要负责为自治州能源（煤矿、油气管道、电力）安全监控系统的建设管理、运行维护、数据采集、综合分析及数据建设管理等工作提供服务。</w:t>
      </w:r>
    </w:p>
    <w:p>
      <w:pPr>
        <w:spacing w:line="580" w:lineRule="exact"/>
        <w:ind w:firstLine="640"/>
        <w:jc w:val="both"/>
      </w:pPr>
      <w:r>
        <w:rPr>
          <w:rFonts w:ascii="仿宋_GB2312" w:hAnsi="仿宋_GB2312" w:eastAsia="仿宋_GB2312"/>
          <w:sz w:val="32"/>
        </w:rPr>
        <w:t>2.为事故预警信息的应急处置提供技术支撑和保障。</w:t>
      </w:r>
    </w:p>
    <w:p>
      <w:pPr>
        <w:spacing w:line="580" w:lineRule="exact"/>
        <w:ind w:firstLine="640"/>
        <w:jc w:val="both"/>
      </w:pPr>
      <w:r>
        <w:rPr>
          <w:rFonts w:ascii="仿宋_GB2312" w:hAnsi="仿宋_GB2312" w:eastAsia="仿宋_GB2312"/>
          <w:sz w:val="32"/>
        </w:rPr>
        <w:t>3.指导、推动能源安全生产新技术、新装备的应用。</w:t>
      </w:r>
    </w:p>
    <w:p>
      <w:pPr>
        <w:spacing w:line="580" w:lineRule="exact"/>
        <w:ind w:firstLine="640"/>
        <w:jc w:val="both"/>
      </w:pPr>
      <w:r>
        <w:rPr>
          <w:rFonts w:ascii="仿宋_GB2312" w:hAnsi="仿宋_GB2312" w:eastAsia="仿宋_GB2312"/>
          <w:sz w:val="32"/>
        </w:rPr>
        <w:t>4.指导各县市能源安全监测工作。</w:t>
      </w:r>
    </w:p>
    <w:p>
      <w:pPr>
        <w:spacing w:line="580" w:lineRule="exact"/>
        <w:ind w:firstLine="640"/>
        <w:jc w:val="both"/>
      </w:pPr>
      <w:r>
        <w:rPr>
          <w:rFonts w:ascii="仿宋_GB2312" w:hAnsi="仿宋_GB2312" w:eastAsia="仿宋_GB2312"/>
          <w:sz w:val="32"/>
        </w:rPr>
        <w:t>5.承担自治州节能减排领导小组办公室日常工作。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昌吉回族自治州能源安全监测中心2024年度，实有人数6人，其中：在职人员6人，增加1人；离休人员0人，增加0人；退休人员0人,增加0人。</w:t>
      </w:r>
    </w:p>
    <w:p>
      <w:pPr>
        <w:spacing w:line="580" w:lineRule="exact"/>
        <w:ind w:firstLine="640"/>
        <w:jc w:val="both"/>
      </w:pPr>
      <w:r>
        <w:rPr>
          <w:rFonts w:ascii="仿宋_GB2312" w:hAnsi="仿宋_GB2312" w:eastAsia="仿宋_GB2312"/>
          <w:sz w:val="32"/>
        </w:rPr>
        <w:t>昌吉回族自治州能源安全监测中心无下属预算单位，下设3个科室，分别是：综合科、节能科、监测技防科。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2024年度收入总计122.00万元，</w:t>
      </w:r>
      <w:r>
        <w:rPr>
          <w:rFonts w:ascii="仿宋_GB2312" w:hAnsi="仿宋_GB2312" w:eastAsia="仿宋_GB2312"/>
          <w:b w:val="0"/>
          <w:sz w:val="32"/>
        </w:rPr>
        <w:t>其中：本年收入合计115.02万元，使用非财政拨款结余（含专用结余）0.00万元，年初结转和结余6.98万元。</w:t>
      </w:r>
    </w:p>
    <w:p>
      <w:pPr>
        <w:spacing w:line="580" w:lineRule="exact"/>
        <w:ind w:firstLine="640"/>
        <w:jc w:val="both"/>
      </w:pPr>
      <w:r>
        <w:rPr>
          <w:rFonts w:ascii="仿宋_GB2312" w:hAnsi="仿宋_GB2312" w:eastAsia="仿宋_GB2312"/>
          <w:b/>
          <w:sz w:val="32"/>
        </w:rPr>
        <w:t>2024年度支出总计122.00万元，</w:t>
      </w:r>
      <w:r>
        <w:rPr>
          <w:rFonts w:ascii="仿宋_GB2312" w:hAnsi="仿宋_GB2312" w:eastAsia="仿宋_GB2312"/>
          <w:b w:val="0"/>
          <w:sz w:val="32"/>
        </w:rPr>
        <w:t>其中：本年支出合计115.08万元，结余分配0.00万元，年末结转和结余6.92万元。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减少33.84万元，下降21.71%，主要原因是：本年减少昌吉州安全生产专项经费、节能督促指导服务工作经费等项目。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本年收入115.02万元，</w:t>
      </w:r>
      <w:r>
        <w:rPr>
          <w:rFonts w:ascii="仿宋_GB2312" w:hAnsi="仿宋_GB2312" w:eastAsia="仿宋_GB2312"/>
          <w:b w:val="0"/>
          <w:sz w:val="32"/>
        </w:rPr>
        <w:t>其中：财政拨款收入114.98万元，占99.97%；上级补助收入0.00万元，占0.00%；事业收入0.00万元，占0.00%；经营收入0.00万元，占0.00%；附属单位上缴收入0.00万元，占0.00%；其他收入0.04万元，占0.03%。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本年支出115.08万元，</w:t>
      </w:r>
      <w:r>
        <w:rPr>
          <w:rFonts w:ascii="仿宋_GB2312" w:hAnsi="仿宋_GB2312" w:eastAsia="仿宋_GB2312"/>
          <w:b w:val="0"/>
          <w:sz w:val="32"/>
        </w:rPr>
        <w:t>其中：基本支出110.58万元，占96.09%；项目支出4.50万元，占3.91%；上缴上级支出0.00万元，占0.00%；经营支出0.00万元，占0.00%；对附属单位补助支出0.00万元，占0.00%。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2024年度财政拨款收入总计114.98万元，</w:t>
      </w:r>
      <w:r>
        <w:rPr>
          <w:rFonts w:ascii="仿宋_GB2312" w:hAnsi="仿宋_GB2312" w:eastAsia="仿宋_GB2312"/>
          <w:b w:val="0"/>
          <w:sz w:val="32"/>
        </w:rPr>
        <w:t>其中：年初财政拨款结转和结余0.00万元，本年财政拨款收入114.98万元。</w:t>
      </w:r>
      <w:r>
        <w:rPr>
          <w:rFonts w:ascii="仿宋_GB2312" w:hAnsi="仿宋_GB2312" w:eastAsia="仿宋_GB2312"/>
          <w:b/>
          <w:sz w:val="32"/>
        </w:rPr>
        <w:t>财政拨款支出总计114.98万元，</w:t>
      </w:r>
      <w:r>
        <w:rPr>
          <w:rFonts w:ascii="仿宋_GB2312" w:hAnsi="仿宋_GB2312" w:eastAsia="仿宋_GB2312"/>
          <w:b w:val="0"/>
          <w:sz w:val="32"/>
        </w:rPr>
        <w:t>其中：年末财政拨款结转和结余0.00万元，本年财政拨款支出114.98万元。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减少33.64万元，下降22.63%，主要原因是：本年减少昌吉州安全生产专项经费、节能督促指导服务工作经费等项目。</w:t>
      </w:r>
      <w:r>
        <w:rPr>
          <w:rFonts w:ascii="仿宋_GB2312" w:hAnsi="仿宋_GB2312" w:eastAsia="仿宋_GB2312"/>
          <w:b/>
          <w:sz w:val="32"/>
        </w:rPr>
        <w:t>与年初预算相比，</w:t>
      </w:r>
      <w:r>
        <w:rPr>
          <w:rFonts w:ascii="仿宋_GB2312" w:hAnsi="仿宋_GB2312" w:eastAsia="仿宋_GB2312"/>
          <w:b w:val="0"/>
          <w:sz w:val="32"/>
        </w:rPr>
        <w:t>年初预算数98.67万元，决算数114.98万元，预决算差异率16.53%，主要原因是：本年在职人员增加，年中追加人员经费及人员工资、社保、公积金基数调增部分资金，导致预决算存在差异。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2024年度一般公共预算财政拨款支出114.98万元，</w:t>
      </w:r>
      <w:r>
        <w:rPr>
          <w:rFonts w:ascii="仿宋_GB2312" w:hAnsi="仿宋_GB2312" w:eastAsia="仿宋_GB2312"/>
          <w:b w:val="0"/>
          <w:sz w:val="32"/>
        </w:rPr>
        <w:t>占本年支出合计的99.91%。</w:t>
      </w:r>
      <w:r>
        <w:rPr>
          <w:rFonts w:ascii="仿宋_GB2312" w:hAnsi="仿宋_GB2312" w:eastAsia="仿宋_GB2312"/>
          <w:b/>
          <w:sz w:val="32"/>
        </w:rPr>
        <w:t>与上年相比，</w:t>
      </w:r>
      <w:r>
        <w:rPr>
          <w:rFonts w:ascii="仿宋_GB2312" w:hAnsi="仿宋_GB2312" w:eastAsia="仿宋_GB2312"/>
          <w:b w:val="0"/>
          <w:sz w:val="32"/>
        </w:rPr>
        <w:t>减少33.64万元，下降22.63%，主要原因是：本年减少昌吉州安全生产专项经费、节能督促指导服务工作经费等项目。</w:t>
      </w:r>
      <w:r>
        <w:rPr>
          <w:rFonts w:ascii="仿宋_GB2312" w:hAnsi="仿宋_GB2312" w:eastAsia="仿宋_GB2312"/>
          <w:b/>
          <w:sz w:val="32"/>
        </w:rPr>
        <w:t>与年初预算相比,</w:t>
      </w:r>
      <w:r>
        <w:rPr>
          <w:rFonts w:ascii="仿宋_GB2312" w:hAnsi="仿宋_GB2312" w:eastAsia="仿宋_GB2312"/>
          <w:b w:val="0"/>
          <w:sz w:val="32"/>
        </w:rPr>
        <w:t>年初预算数98.67万元，决算数114.98万元，预决算差异率16.53%，主要原因是：本年在职人员增加，年中追加人员经费及人员工资、社保、公积金基数调增部分资金，导致预决算存在差异。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1.一般公共服务支出(类)88.51万元,占76.98%。</w:t>
      </w:r>
    </w:p>
    <w:p>
      <w:pPr>
        <w:spacing w:line="580" w:lineRule="exact"/>
        <w:ind w:firstLine="640"/>
        <w:jc w:val="both"/>
      </w:pPr>
      <w:r>
        <w:rPr>
          <w:rFonts w:ascii="仿宋_GB2312" w:hAnsi="仿宋_GB2312" w:eastAsia="仿宋_GB2312"/>
          <w:b w:val="0"/>
          <w:sz w:val="32"/>
        </w:rPr>
        <w:t>2.社会保障和就业支出(类)13.99万元,占12.17%。</w:t>
      </w:r>
    </w:p>
    <w:p>
      <w:pPr>
        <w:spacing w:line="580" w:lineRule="exact"/>
        <w:ind w:firstLine="640"/>
        <w:jc w:val="both"/>
      </w:pPr>
      <w:r>
        <w:rPr>
          <w:rFonts w:ascii="仿宋_GB2312" w:hAnsi="仿宋_GB2312" w:eastAsia="仿宋_GB2312"/>
          <w:b w:val="0"/>
          <w:sz w:val="32"/>
        </w:rPr>
        <w:t>3.卫生健康支出(类)4.98万元,占4.33%。</w:t>
      </w:r>
    </w:p>
    <w:p>
      <w:pPr>
        <w:spacing w:line="580" w:lineRule="exact"/>
        <w:ind w:firstLine="640"/>
        <w:jc w:val="both"/>
      </w:pPr>
      <w:r>
        <w:rPr>
          <w:rFonts w:ascii="仿宋_GB2312" w:hAnsi="仿宋_GB2312" w:eastAsia="仿宋_GB2312"/>
          <w:b w:val="0"/>
          <w:sz w:val="32"/>
        </w:rPr>
        <w:t>4.住房保障支出(类)7.50万元,占6.52%。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1.一般公共服务支出(类)发展与改革事务(款)事业运行(项):支出决算数为84.11万元，比上年决算减少33.92万元，下降28.74%,主要原因是：本年减少安全生产专项经费。</w:t>
      </w:r>
    </w:p>
    <w:p>
      <w:pPr>
        <w:spacing w:line="580" w:lineRule="exact"/>
        <w:ind w:firstLine="640"/>
        <w:jc w:val="both"/>
      </w:pPr>
      <w:r>
        <w:rPr>
          <w:rFonts w:ascii="仿宋_GB2312" w:hAnsi="仿宋_GB2312" w:eastAsia="仿宋_GB2312"/>
          <w:b w:val="0"/>
          <w:sz w:val="32"/>
        </w:rPr>
        <w:t>2.一般公共服务支出(类)发展与改革事务(款)其他发展与改革事务支出(项):支出决算数为4.39万元，比上年决算减少2.98万元，下降40.43%,主要原因是：本年减少节能督促指导服务工作经费等项目。</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9.33万元，比上年决算增加1.11万元，增长13.50%,主要原因是：本年在职人员增加，养老保险缴费较上年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4.66万元，比上年决算增加0.55万元，增长13.38%,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5.卫生健康支出(类)行政事业单位医疗(款)事业单位医疗(项):支出决算数为4.66万元，比上年决算增加0.55万元，增长13.38%,主要原因是：本年在职人员增加，事业单位医疗支出较上年增加。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6.卫生健康支出(类)行政事业单位医疗(款)公务员医疗补助(项):支出决算数为0.29万元，比上年决算增加0.03万元，增长11.54%,主要原因是：本年在职人员增加，公务员医疗补助经费增加。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7.卫生健康支出(类)行政事业单位医疗(款)其他行政事业单位医疗支出(项):支出决算数为0.03万元，比上年决算增加0.00万元，增长0.00%,主要原因是：本年其他行政事业单位医疗支出与上年一致，无差异。</w:t>
      </w:r>
    </w:p>
    <w:p>
      <w:pPr>
        <w:spacing w:line="580" w:lineRule="exact"/>
        <w:ind w:firstLine="640"/>
        <w:jc w:val="both"/>
      </w:pPr>
      <w:r>
        <w:rPr>
          <w:rFonts w:ascii="仿宋_GB2312" w:hAnsi="仿宋_GB2312" w:eastAsia="仿宋_GB2312"/>
          <w:b w:val="0"/>
          <w:sz w:val="32"/>
        </w:rPr>
        <w:t>8.住房保障支出(类)住房改革支出(款)住房公积金(项):支出决算数为7.50万元，比上年决算增加1.01万元，增长15.56%,主要原因是：本年在职人员增加，住房公积金支出较上年增加。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2024年度一般公共预算财政拨款基本支出110.58万元，其中：</w:t>
      </w:r>
      <w:r>
        <w:rPr>
          <w:rFonts w:ascii="仿宋_GB2312" w:hAnsi="仿宋_GB2312" w:eastAsia="仿宋_GB2312"/>
          <w:b/>
          <w:sz w:val="32"/>
        </w:rPr>
        <w:t>人员经费103.38万元，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公用经费7.20万元，</w:t>
      </w:r>
      <w:r>
        <w:rPr>
          <w:rFonts w:ascii="仿宋_GB2312" w:hAnsi="仿宋_GB2312" w:eastAsia="仿宋_GB2312"/>
          <w:b w:val="0"/>
          <w:sz w:val="32"/>
        </w:rPr>
        <w:t>包括：办公费、印刷费、差旅费、工会经费、福利费、公务用车运行维护费、其他商品和服务支出。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过路费等。公务用车购置数0辆，公务用车保有量1辆。国有资产占用情况中固定资产车辆0辆，与公务用车保有量差异原因是：借用发改委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2024年度昌吉回族自治州能源安全监测中心（事业单位）公用经费支出7.20万元，比上年减少48.45万元，下降87.06%，主要原因是：本年减少安全生产专项经费，导致公用经费减少。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2024年度政府采购支出总额0.97万元，其中：政府采购货物支出0.15万元、政府采购工程支出0.00万元、政府采购服务支出0.82万元。</w:t>
      </w:r>
    </w:p>
    <w:p>
      <w:pPr>
        <w:spacing w:line="580" w:lineRule="exact"/>
        <w:ind w:firstLine="640"/>
        <w:jc w:val="both"/>
      </w:pPr>
      <w:r>
        <w:rPr>
          <w:rFonts w:ascii="仿宋_GB2312" w:hAnsi="仿宋_GB2312" w:eastAsia="仿宋_GB2312"/>
          <w:b w:val="0"/>
          <w:sz w:val="32"/>
        </w:rPr>
        <w:t>授予中小企业合同金额0.97万元，占政府采购支出总额的100.00%，其中：授予小微企业合同金额0.82万元，占政府采购支出总额的84.54%。</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122.00万元，实际执行总额115.08万元；预算绩效评价项目1个，全年预算数4.39万元，全年执行数4.39万元。预算绩效管理取得的成效：我单位各项工作实施及资金使用情况均在绩效目标设定时限完成。预算安排的基本支出保障了正常的工作运转，预算安排的项目支出非常必要，在执行上是严格遵守各项财经纪律，在项目资金的使用上也是放的心的，严守法律底线、纪律底线、道德底线。我单位基本经费中人员经费支出、公用支出严格执行政府的各项制度，保障全局工作正常运转，三公经费的使用严格控制在预算申报的范围内；在项目经费的使用上，在保证各项任务顺利完成的同时，严格落实厉行节约的原则。各项经费的使用均体现了高效、透明、合规的原则，有效保障了各项工作的顺利开展。同时，我单位在绩效评价过程中，严格按照相关规定和要求，对各项支出进行了细致、全面的自评，确保了评价结果的客观性和准确性。发现的问题及原因：1.本单位全额拨款事业单位，年初的基本支出预算仅是6名在编人员的财政拨款人员经费及公用经费，执行时由于人员调资等原因，导致人员经费实际执行数大于年初预算数。2.一些企业对节能工作的重视程度不足，这导致了节能措施的实施不够彻底。企业中负责节能的人员能力水平不一，部分企业的节能管理能力较低，这种情况并不利于提升企业的整体节能管理水平。3.业务人员对绩效管理的意识亟需提升，尚未全面且深入地理解绩效管理的重要性。同时，绩效管理的经验尚显不足，因此预算绩效管理的实施需要进一步加强。下一步改进措施：1.高度重视财政预决算工作，加强预算的约束力。2.根据节能相关政策要求，重点指导、诊断规模以上工业企业工艺、能效、设备、计量器具等能源管理情况，查出问题、提出解决措施，帮助企业提高能效水平。3.加强工程管理，强化目标审核，绩效目标编制培训，提高绩效目标编制质量，确保绩效目标“够得着、能实现”。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昌吉回族自治州能源安全监测中心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做好自治州节能减排领导小组办公室日常工作，负责制定自治州能耗双控目标及措施，指导重点耗能单位积极开展节能降耗工作。2、指导县市能源安全工作，做好规划制定及实施，煤炭矿区总归及项目初审、运行调度等工作。3、对全州规模以上工业企业的工艺水平,能效水平，用能设备，能源计量器具等能源利用管理有问题的企业，通过专家问诊督导等形式，进行节能督促指导社会化服务20次以上,提高企业节能意识和能效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完成以下工作：对全州规模以上工业企业执行了20次以上的节能督促指导社会化服务。通过专家的深入问诊，针对企业工艺水平、.能效水平、用能设备、能源计量器具等关键能源利用管理环节，提供了专业的节能督促指导服务。提升企业的节能意识和能效水平，进一步增强企业的节能管理水平和能源利用效率。此外，通过组织节能培训，加强了企业的节能意识，并推广了先进的节能技术和管理方法，帮助企业在节能降耗方面掌握了有效的手段。同时，加大了对工业淘汰落后设备的指导力度，推动企业进行设备升级和技术改造，以减少能源消耗和环境污染，促进可持续发展。此外，开展了至少2场次的电力安全生产检查和至少1场次的油气管道安全生产检查，并提出了整改意见书，以提升安全生产管理水平，确保全州电力、油气长输管道安全生产形势稳定向好。</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节能督导服务企业数量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工业企业节能培训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指导工业淘汰落后设备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指导企业制定2024年节能培训计划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开展电力企业安全生产检查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开展油气管道企业安全生产检查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制定昌吉州节能监查任务工作重点清单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关于能源安全执法支队2024年工作计划的汇报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节能督促指导服务工作经费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昌吉回族自治州能源安全监测中心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对全州规模以上工业企业的工艺水平,能效水平，用能设备，能源计量器具等能源利用管理有问题的企业，通过专家问诊督导等形式，进行节能督促指导社会化服务20次以上,提高企业节能意识和能效水平.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节能督导服务企业20次、企业能耗问题100%解决、节能督导服务按要求完成；通过改项目的实施，提升了全州企业节能意识和能效管理水平，促进了全州节能工作的推进，为能源节能工作夯实了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节能督导服务企业数量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企业能耗问题解决率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节能督导服务按计划完成率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节能督促指导专家服务工作经费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节能督促指导服务工作材料及差旅费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增强节能意识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提高企业能效水平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企业对节能服务工作满意度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企业对节能服务比较满意，并为企业提供可靠的指导意见，同时年初制定目标较低。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