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昌吉回族自治州美术馆2024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承担全州美术作品、美术文献及相关资料的展览、陈列征集、收藏任务；开展学术研究、教育推广、对外交流和公共文化服务。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昌吉回族自治州美术馆2024年度，实有人数3人，其中：在职人员3人，增加2人；离休人员0人，增加0人；退休人员0人,增加0人。</w:t>
      </w:r>
    </w:p>
    <w:p>
      <w:pPr>
        <w:spacing w:line="580" w:lineRule="exact"/>
        <w:ind w:firstLine="640"/>
        <w:jc w:val="both"/>
      </w:pPr>
      <w:r>
        <w:rPr>
          <w:rFonts w:ascii="仿宋_GB2312" w:hAnsi="仿宋_GB2312" w:eastAsia="仿宋_GB2312"/>
          <w:sz w:val="32"/>
        </w:rPr>
        <w:t>昌吉回族自治州美术馆无下属预算单位，下设2个科室，分别是：综合展览部、公共教育部。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2024年度收入总计272.26万元，</w:t>
      </w:r>
      <w:r>
        <w:rPr>
          <w:rFonts w:ascii="仿宋_GB2312" w:hAnsi="仿宋_GB2312" w:eastAsia="仿宋_GB2312"/>
          <w:b w:val="0"/>
          <w:sz w:val="32"/>
        </w:rPr>
        <w:t>其中：本年收入合计267.44万元，使用非财政拨款结余（含专用结余）4.82万元，年初结转和结余0.00万元。</w:t>
      </w:r>
    </w:p>
    <w:p>
      <w:pPr>
        <w:spacing w:line="580" w:lineRule="exact"/>
        <w:ind w:firstLine="640"/>
        <w:jc w:val="both"/>
      </w:pPr>
      <w:r>
        <w:rPr>
          <w:rFonts w:ascii="仿宋_GB2312" w:hAnsi="仿宋_GB2312" w:eastAsia="仿宋_GB2312"/>
          <w:b/>
          <w:sz w:val="32"/>
        </w:rPr>
        <w:t>2024年度支出总计272.26万元，</w:t>
      </w:r>
      <w:r>
        <w:rPr>
          <w:rFonts w:ascii="仿宋_GB2312" w:hAnsi="仿宋_GB2312" w:eastAsia="仿宋_GB2312"/>
          <w:b w:val="0"/>
          <w:sz w:val="32"/>
        </w:rPr>
        <w:t>其中：本年支出合计272.26万元，结余分配0.00万元，年末结转和结余0.00万元。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增加179.69万元，增长194.11%，主要原因是：本年在职人员增加，相关人员经费增加，增加2024年中央补助地方公共文化服务体系建设补助资金项目，2024年“三馆一站”免费开放补助资金项目资金。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本年收入267.44万元，</w:t>
      </w:r>
      <w:r>
        <w:rPr>
          <w:rFonts w:ascii="仿宋_GB2312" w:hAnsi="仿宋_GB2312" w:eastAsia="仿宋_GB2312"/>
          <w:b w:val="0"/>
          <w:sz w:val="32"/>
        </w:rPr>
        <w:t>其中：财政拨款收入257.61万元，占96.32%；上级补助收入0.00万元，占0.00%；事业收入0.00万元，占0.00%；经营收入0.00万元，占0.00%；附属单位上缴收入0.00万元，占0.00%；其他收入9.83万元，占3.68%。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本年支出272.26万元，</w:t>
      </w:r>
      <w:r>
        <w:rPr>
          <w:rFonts w:ascii="仿宋_GB2312" w:hAnsi="仿宋_GB2312" w:eastAsia="仿宋_GB2312"/>
          <w:b w:val="0"/>
          <w:sz w:val="32"/>
        </w:rPr>
        <w:t>其中：基本支出62.02万元，占22.78%；项目支出210.24万元，占77.22%；上缴上级支出0.00万元，占0.00%；经营支出0.00万元，占0.00%；对附属单位补助支出0.00万元，占0.00%。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2024年度财政拨款收入总计257.61万元，</w:t>
      </w:r>
      <w:r>
        <w:rPr>
          <w:rFonts w:ascii="仿宋_GB2312" w:hAnsi="仿宋_GB2312" w:eastAsia="仿宋_GB2312"/>
          <w:b w:val="0"/>
          <w:sz w:val="32"/>
        </w:rPr>
        <w:t>其中：年初财政拨款结转和结余0.00万元，本年财政拨款收入257.61万元。</w:t>
      </w:r>
      <w:r>
        <w:rPr>
          <w:rFonts w:ascii="仿宋_GB2312" w:hAnsi="仿宋_GB2312" w:eastAsia="仿宋_GB2312"/>
          <w:b/>
          <w:sz w:val="32"/>
        </w:rPr>
        <w:t>财政拨款支出总计257.61万元，</w:t>
      </w:r>
      <w:r>
        <w:rPr>
          <w:rFonts w:ascii="仿宋_GB2312" w:hAnsi="仿宋_GB2312" w:eastAsia="仿宋_GB2312"/>
          <w:b w:val="0"/>
          <w:sz w:val="32"/>
        </w:rPr>
        <w:t>其中：年末财政拨款结转和结余0.00万元，本年财政拨款支出257.61万元。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增加188.04万元，增长270.29%，主要原因是：本年在职人员增加，相关人员经费增加，增加2024年中央补助地方公共文化服务体系建设补助资金项目，2024年“三馆一站”免费开放补助资金项目资金。</w:t>
      </w:r>
      <w:r>
        <w:rPr>
          <w:rFonts w:ascii="仿宋_GB2312" w:hAnsi="仿宋_GB2312" w:eastAsia="仿宋_GB2312"/>
          <w:b/>
          <w:sz w:val="32"/>
        </w:rPr>
        <w:t>与年初预算相比，</w:t>
      </w:r>
      <w:r>
        <w:rPr>
          <w:rFonts w:ascii="仿宋_GB2312" w:hAnsi="仿宋_GB2312" w:eastAsia="仿宋_GB2312"/>
          <w:b w:val="0"/>
          <w:sz w:val="32"/>
        </w:rPr>
        <w:t>年初预算数128.97万元，决算数257.61万元，预决算差异率99.74%，主要原因是：本年在职人员增加，年中追加人员经费及人员工资、社保、公积金基数调增部分资金及2024年中央补助地方公共文化服务体系建设补助资金项目，2024年“三馆一站”免费开放补助资金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2024年度一般公共预算财政拨款支出257.61万元，</w:t>
      </w:r>
      <w:r>
        <w:rPr>
          <w:rFonts w:ascii="仿宋_GB2312" w:hAnsi="仿宋_GB2312" w:eastAsia="仿宋_GB2312"/>
          <w:b w:val="0"/>
          <w:sz w:val="32"/>
        </w:rPr>
        <w:t>占本年支出合计的94.62%。</w:t>
      </w:r>
      <w:r>
        <w:rPr>
          <w:rFonts w:ascii="仿宋_GB2312" w:hAnsi="仿宋_GB2312" w:eastAsia="仿宋_GB2312"/>
          <w:b/>
          <w:sz w:val="32"/>
        </w:rPr>
        <w:t>与上年相比，</w:t>
      </w:r>
      <w:r>
        <w:rPr>
          <w:rFonts w:ascii="仿宋_GB2312" w:hAnsi="仿宋_GB2312" w:eastAsia="仿宋_GB2312"/>
          <w:b w:val="0"/>
          <w:sz w:val="32"/>
        </w:rPr>
        <w:t>增加188.04万元，增长270.29%，主要原因是：本年在职人员增加，相关人员经费增加，增加2024年中央补助地方公共文化服务体系建设补助资金项目，2024年“三馆一站”免费开放补助资金项目资金。</w:t>
      </w:r>
      <w:r>
        <w:rPr>
          <w:rFonts w:ascii="仿宋_GB2312" w:hAnsi="仿宋_GB2312" w:eastAsia="仿宋_GB2312"/>
          <w:b/>
          <w:sz w:val="32"/>
        </w:rPr>
        <w:t>与年初预算相比,</w:t>
      </w:r>
      <w:r>
        <w:rPr>
          <w:rFonts w:ascii="仿宋_GB2312" w:hAnsi="仿宋_GB2312" w:eastAsia="仿宋_GB2312"/>
          <w:b w:val="0"/>
          <w:sz w:val="32"/>
        </w:rPr>
        <w:t>年初预算数128.97万元，决算数257.61万元，预决算差异率99.74%，主要原因是：本年在职人员增加，年中追加人员经费及人员工资、社保、公积金基数调增部分资金及2024年中央补助地方公共文化服务体系建设补助资金项目，2024年“三馆一站”免费开放补助资金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1.文化旅游体育与传媒支出(类)257.61万元,占100.00%。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文化展示及纪念机构(项):支出决算数为209.91万元，比上年决算增加140.34万元，增长201.72%,主要原因是：本年在职人员增加，相关人员经费增加，增加2024年中央补助地方公共文化服务体系建设补助资金项目。</w:t>
      </w:r>
    </w:p>
    <w:p>
      <w:pPr>
        <w:spacing w:line="580" w:lineRule="exact"/>
        <w:ind w:firstLine="640"/>
        <w:jc w:val="both"/>
      </w:pPr>
      <w:r>
        <w:rPr>
          <w:rFonts w:ascii="仿宋_GB2312" w:hAnsi="仿宋_GB2312" w:eastAsia="仿宋_GB2312"/>
          <w:b w:val="0"/>
          <w:sz w:val="32"/>
        </w:rPr>
        <w:t>2.文化旅游体育与传媒支出(类)文化和旅游(款)其他文化和旅游支出(项):支出决算数为47.70万元，比上年决算增加47.70万元，增长100.00%,主要原因是：本年增加2024年“三馆一站”免费开放补助资金项目资金。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2024年度一般公共预算财政拨款基本支出62.02万元，其中：</w:t>
      </w:r>
      <w:r>
        <w:rPr>
          <w:rFonts w:ascii="仿宋_GB2312" w:hAnsi="仿宋_GB2312" w:eastAsia="仿宋_GB2312"/>
          <w:b/>
          <w:sz w:val="32"/>
        </w:rPr>
        <w:t>人员经费62.02万元，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2024年度昌吉回族自治州美术馆（事业单位）公用经费支出0.00万元，比上年减少63.03万元，下降100.00%，主要原因是：本年公用经费列为项目支出，导致公用经费减少。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2024年度政府采购支出总额66.79万元，其中：政府采购货物支出18.79万元、政府采购工程支出0.00万元、政府采购服务支出48.00万元。</w:t>
      </w:r>
    </w:p>
    <w:p>
      <w:pPr>
        <w:spacing w:line="580" w:lineRule="exact"/>
        <w:ind w:firstLine="640"/>
        <w:jc w:val="both"/>
      </w:pPr>
      <w:r>
        <w:rPr>
          <w:rFonts w:ascii="仿宋_GB2312" w:hAnsi="仿宋_GB2312" w:eastAsia="仿宋_GB2312"/>
          <w:b w:val="0"/>
          <w:sz w:val="32"/>
        </w:rPr>
        <w:t>授予中小企业合同金额66.79万元，占政府采购支出总额的100.00%，其中：授予小微企业合同金额66.79万元，占政府采购支出总额的100.00%。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272.26万元，实际执行总额272.26万元；预算绩效评价项目6个，全年预算数216.42万元，全年执行数210.24万元。预算绩效管理取得的成效：一是：结合本馆实际情况，制定了厉行节约制度，使财政收支预算执行都得到了良好的制度保障和实施效果。二是：通过实施项目绩效目标管理，加强了项目经费及资产管理，确保各工作职能得到了持续发展，美术馆的基础设施更加完善，文化作品创作的水平进一步得到提高。发现的问题及原因：一是：部门绩效管理理念尚未牢固树立，绩效管理专业人员匮乏。二是：绩效档案管理工作缺少针对性和目的性，平时对绩效目标及监控等档案资料缺乏收集和重视，使绩效档案管理与实际业务存在一定偏差，未发挥其综合价值。下一步改进措施：一是：部门绩效管理理念尚未牢固树立，绩效管理专业人员匮乏。二是：绩效档案管理工作缺少针对性和目的性，平时对绩效目标及监控等档案资料缺乏收集和重视，使绩效档案管理与实际业务存在一定偏差，未发挥其综合价值。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172.31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272.26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272.26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围绕昌吉州美术馆承担全州美术作品、美术文献及相关资料的展览、陈列征集、收藏任务；开展学术研究、教育推广、对外交流和公共文化服务的主要工作职责，开展3个美术展览项目，全年美术公益讲座10次，进行一次公共文化教育系列活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我单位全年预算数为272.26万元，全年执行数为272.26万元，总预算执行率为100%。2024年我单位完成以下工作内容：1、开展美术展览3场；2、开展全年文化美术公益讲座18场；3、开展公共文化教育系列活动1场。通过以上工作的实施，达到了宣传文化作品，弘扬文化精神的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开展美术展览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昌吉州美术馆2024年工作计划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全年文化美术公益讲座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昌吉州美术馆2024年工作计划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公共文化教育系列活动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昌吉州美术馆2024年工作计划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“文化乡土人才”技能大赛选手奖金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根据州党委组织部《关于举办“乡土实用人才”大比武活动的通知》，举办“文化乡土实用人才”大比武，选拔美术书法摄影技能大赛获奖人员18人，发放奖金3万元。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选拨获奖人数18人，完成奖金发放人数18人，资金支付3万元，资金支付率100%，通过该项目的实施，提升了昌吉州获奖美术书法摄像作品的质量和创新性，促进了文化事业的繁荣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选拔获奖人数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发放奖金人数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获奖人数选拔合格率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奖励资金发放及时率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发放美术获奖人员奖金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发放书法获奖人员奖金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发放摄影获奖人员奖金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提高美术书法摄影的水平，为昌吉州选拔出更多优秀的人才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文化教育惠民补助资金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昌州财教【2024】2号文件，关于下达2024年中央补助地方公共文化服务体系建设补助资金预算的通知。中央补助下达州美术馆30万元资金，主要用于购置公共文化宣传及作品制作材料1批，资金22.1万元，购置宣传及作品制作用版画机一台，资金7.9万元，以达到提升公共文化惠民服务质量，充实文化阵地基础设施设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置公共文化教育宣传材料一批，资金支付22.1万元，购置文化宣传制作用版画机一台，资金支付7.9万元，通过资金的实施，为参展观众营造更加舒适的参观环境，提升美术馆的文化服务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购置公共文化教育宣传材料一批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购置文化宣传制作用版画机一台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购置宣传材料合格率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购置材料完成率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公共文化作品宣传材料购置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购置版画机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提升公共文化惠民服务质量，充实文化阵地基础设施设备，提升社会主义审美观。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昌吉州东三县美术作品展</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根据昌吉州总工会的文件要求和工作计划，特委托昌吉州美术馆进行东三县美术作品巡展，巡展作品40个，巡展场次3场。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美术巡展作品数量70个，美术作品巡展场次3场，资金支付6.8万元，资金支付率100%。通过该项目的实施，提升了举办地文化氛围，增强城市文化软实力和吸引力，吸引人才和投资，促进了社会文化建设与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美术巡展作品数量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计划参展的作品40幅，实际收到报名参展的作品共70幅，超计划完成指标。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美术作品巡展场次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选拔作品合格率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美术作品展知晓度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展览前言、展签制作费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作品搬运运输保险布展劳务费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通过美术作品的巡展，提高东三县美术作品创作质量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昌州财教【2023】64号81号-关于提前下达自治区、中央2024年美术馆、公共图书馆、文化馆（站）免费开放补助资金的通知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州财教【2023】64号文件，关于提前下达自治区2024年美术馆、公共图书馆、文化馆（站）免费开放补助资金预算的通知，昌州财教【2023】81号文件，关于提前下达自治区2024年美术馆、公共图书馆、文化馆（站）免费开放补助资金预算的通知。补助昌吉州美术馆免费开放资金50万元，其中，中央补助40万元，自治区补助7万元，地州财政配套3万元。此次下达全年资金50万元。计划全年对各个主题展览及相关对外文化交流、培训活动等内容开展工作，全年计划支付资金50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全年完成美术场馆1个，全年资金支付47.7万元，完成展览费用47.7万元，结转下年资金2.3万元，全年资金支付率95.4%，通过该项目的实施，提升了美术馆的整体美术作品展览的质量，促进了美术文化事业的繁荣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美术馆免费开放覆盖率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资金按时发放率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美术馆展览费用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主要的原因是资金拨付较晚，计划中场馆小型维修资金没有支付完毕，结转至第二年执行。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美术馆小型维修费用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主要的原因是资金拨付较晚，计划中场馆小型维修资金没有支付完毕，结转至第二年执行</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社会公众对美术馆公共文化服务满意度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年初目标设置较为保守，因项目实施效果较好，公众对项目实施满意度，因此超过预期，产生偏差。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2024年充分发挥昌吉州援疆指挥部拨付的保障我单位正常运转经费6.51万元，提高单位资金使用效率，提高昌吉州美术馆的基础设施的完善，提高参观美术展览的群众文化水平和素养。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截至2024年12月31日，该项目实际完成采购办公用品1批次，完成场馆维修次数1次。通过该项目的实施，提升了美术场馆设备设施的安全，促进了观众参观体验，同时优化了工作人员的工作条件。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单位全年采购办公用品批次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单位全年维修次数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购买办公用品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年初制定的购置办公用品预算，预算金额是单位资金，由于单位年中工作计划变更，实际支付0.07万元。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单位维修费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保障单位正常运转，提高群众文化艺术素养。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资金支付合理合规，为昌吉州文化水平得到提升。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83.59分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昌吉回族自治州美术馆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持续运营昌吉州美术馆文化及艺术交流、公共服务等活动，2024年度运行经费共计120.11万元，其中:财政2024年预算拨款103.14万元，2023年财政运转项目结转16.97万元。全年目标支出内容包括州美术馆物业后勤人员劳务费、采暖费、电费、网络宽带及座机话费、水费、消防维保、电梯维保、安防维保、空调维保、垃圾清运等运行保障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到2024年底，昌吉州美术馆运转经费共支付117.9万元，主要支付的是单位办公大楼的取暖费，水电费及保障12个劳务人员的工资、邮电费、维修费等开支。通过本项目的实施，保障了美术馆的正常业务工作的开展，为昌吉州美术文化行业发展奠定了经济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保障全年物业劳务人员数量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保障水电正常运转天数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展览活动宣传次数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展览活动宣传次数难处预算7次，实际完成18次，主要原因是年中根据主管局的工作安排，增加了11场次的展览。</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水电正常运转完成率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发放物业劳务人员工资及时率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完成展览宣传活动及时率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美术馆展览费用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展览费用预算22.97万元，实际完成支付20.88万元，主要原因是年中工作计划改变，结余2.09万元财政收回。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美术馆支付物业费用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全年预算物业费72万元，实际中标合同价71.88万元，结余0.12万元，财政收回。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美术馆正常机构运行费用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保障业务工作高效运转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92.71分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