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昌吉回族自治州科技馆2024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为各类科技交流活动提供场地和会议综合服务;开展科技展教活动，向各族群众和广大青少年普及科技知识;举办各类科技培训，流动科技馆等活动；推广数字科技馆网上科普工作，进行科普资源数字化;服务基层开展科普大逢车等活动;负责开展科技信息、情报的调研、收集、发布、服务等工作。</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昌吉回族自治州科技馆2024年度，实有人数17人，其中：在职人员10人，增加1人；离休人员0人，增加0人；退休人员7人,增加0人。</w:t>
      </w:r>
    </w:p>
    <w:p>
      <w:pPr>
        <w:spacing w:line="580" w:lineRule="exact"/>
        <w:ind w:firstLine="640"/>
        <w:jc w:val="both"/>
      </w:pPr>
      <w:r>
        <w:rPr>
          <w:rFonts w:ascii="仿宋_GB2312" w:hAnsi="仿宋_GB2312" w:eastAsia="仿宋_GB2312"/>
          <w:sz w:val="32"/>
        </w:rPr>
        <w:t>昌吉回族自治州科技馆无下属预算单位，下设3个科室，分别是：办公室、展教部、科普活动中心。</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2024年度收入总计311.00万元，</w:t>
      </w:r>
      <w:r>
        <w:rPr>
          <w:rFonts w:ascii="仿宋_GB2312" w:hAnsi="仿宋_GB2312" w:eastAsia="仿宋_GB2312"/>
          <w:b w:val="0"/>
          <w:sz w:val="32"/>
        </w:rPr>
        <w:t>其中：本年收入合计285.06万元，使用非财政拨款结余（含专用结余）0.00万元，年初结转和结余25.94万元。</w:t>
      </w:r>
    </w:p>
    <w:p>
      <w:pPr>
        <w:spacing w:line="580" w:lineRule="exact"/>
        <w:ind w:firstLine="640"/>
        <w:jc w:val="both"/>
      </w:pPr>
      <w:r>
        <w:rPr>
          <w:rFonts w:ascii="仿宋_GB2312" w:hAnsi="仿宋_GB2312" w:eastAsia="仿宋_GB2312"/>
          <w:b/>
          <w:sz w:val="32"/>
        </w:rPr>
        <w:t>2024年度支出总计311.00万元，</w:t>
      </w:r>
      <w:r>
        <w:rPr>
          <w:rFonts w:ascii="仿宋_GB2312" w:hAnsi="仿宋_GB2312" w:eastAsia="仿宋_GB2312"/>
          <w:b w:val="0"/>
          <w:sz w:val="32"/>
        </w:rPr>
        <w:t>其中：本年支出合计281.81万元，结余分配0.00万元，年末结转和结余29.19万元。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减少44.69万元，下降12.56%，主要原因是：本年科技馆站项目资金较上年减少。</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本年收入285.06万元，</w:t>
      </w:r>
      <w:r>
        <w:rPr>
          <w:rFonts w:ascii="仿宋_GB2312" w:hAnsi="仿宋_GB2312" w:eastAsia="仿宋_GB2312"/>
          <w:b w:val="0"/>
          <w:sz w:val="32"/>
        </w:rPr>
        <w:t>其中：财政拨款收入280.96万元，占98.56%；上级补助收入0.00万元，占0.00%；事业收入0.00万元，占0.00%；经营收入0.00万元，占0.00%；附属单位上缴收入0.00万元，占0.00%；其他收入4.10万元，占1.44%。</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本年支出281.81万元，</w:t>
      </w:r>
      <w:r>
        <w:rPr>
          <w:rFonts w:ascii="仿宋_GB2312" w:hAnsi="仿宋_GB2312" w:eastAsia="仿宋_GB2312"/>
          <w:b w:val="0"/>
          <w:sz w:val="32"/>
        </w:rPr>
        <w:t>其中：基本支出194.41万元，占68.99%；项目支出87.40万元，占31.01%；上缴上级支出0.00万元，占0.00%；经营支出0.00万元，占0.00%；对附属单位补助支出0.00万元，占0.00%。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2024年度财政拨款收入总计280.96万元，</w:t>
      </w:r>
      <w:r>
        <w:rPr>
          <w:rFonts w:ascii="仿宋_GB2312" w:hAnsi="仿宋_GB2312" w:eastAsia="仿宋_GB2312"/>
          <w:b w:val="0"/>
          <w:sz w:val="32"/>
        </w:rPr>
        <w:t>其中：年初财政拨款结转和结余0.00万元，本年财政拨款收入280.96万元。</w:t>
      </w:r>
      <w:r>
        <w:rPr>
          <w:rFonts w:ascii="仿宋_GB2312" w:hAnsi="仿宋_GB2312" w:eastAsia="仿宋_GB2312"/>
          <w:b/>
          <w:sz w:val="32"/>
        </w:rPr>
        <w:t>财政拨款支出总计280.96万元，</w:t>
      </w:r>
      <w:r>
        <w:rPr>
          <w:rFonts w:ascii="仿宋_GB2312" w:hAnsi="仿宋_GB2312" w:eastAsia="仿宋_GB2312"/>
          <w:b w:val="0"/>
          <w:sz w:val="32"/>
        </w:rPr>
        <w:t>其中：年末财政拨款结转和结余0.00万元，本年财政拨款支出280.96万元。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减少25.23万元，下降8.24%，主要原因是：本年科技馆站项目资金较上年减少。</w:t>
      </w:r>
      <w:r>
        <w:rPr>
          <w:rFonts w:ascii="仿宋_GB2312" w:hAnsi="仿宋_GB2312" w:eastAsia="仿宋_GB2312"/>
          <w:b/>
          <w:sz w:val="32"/>
        </w:rPr>
        <w:t>与年初预算相比，</w:t>
      </w:r>
      <w:r>
        <w:rPr>
          <w:rFonts w:ascii="仿宋_GB2312" w:hAnsi="仿宋_GB2312" w:eastAsia="仿宋_GB2312"/>
          <w:b w:val="0"/>
          <w:sz w:val="32"/>
        </w:rPr>
        <w:t>年初预算数284.68万元，决算数280.96万元，预决算差异率-1.31%，主要原因是：年中调减科技馆站项目资金，导致预决算产生差异。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2024年度一般公共预算财政拨款支出280.96万元，</w:t>
      </w:r>
      <w:r>
        <w:rPr>
          <w:rFonts w:ascii="仿宋_GB2312" w:hAnsi="仿宋_GB2312" w:eastAsia="仿宋_GB2312"/>
          <w:b w:val="0"/>
          <w:sz w:val="32"/>
        </w:rPr>
        <w:t>占本年支出合计的99.70%。</w:t>
      </w:r>
      <w:r>
        <w:rPr>
          <w:rFonts w:ascii="仿宋_GB2312" w:hAnsi="仿宋_GB2312" w:eastAsia="仿宋_GB2312"/>
          <w:b/>
          <w:sz w:val="32"/>
        </w:rPr>
        <w:t>与上年相比，</w:t>
      </w:r>
      <w:r>
        <w:rPr>
          <w:rFonts w:ascii="仿宋_GB2312" w:hAnsi="仿宋_GB2312" w:eastAsia="仿宋_GB2312"/>
          <w:b w:val="0"/>
          <w:sz w:val="32"/>
        </w:rPr>
        <w:t>减少25.23万元，下降8.24%，主要原因是：本年科技馆站项目资金较上年减少。</w:t>
      </w:r>
      <w:r>
        <w:rPr>
          <w:rFonts w:ascii="仿宋_GB2312" w:hAnsi="仿宋_GB2312" w:eastAsia="仿宋_GB2312"/>
          <w:b/>
          <w:sz w:val="32"/>
        </w:rPr>
        <w:t>与年初预算相比,</w:t>
      </w:r>
      <w:r>
        <w:rPr>
          <w:rFonts w:ascii="仿宋_GB2312" w:hAnsi="仿宋_GB2312" w:eastAsia="仿宋_GB2312"/>
          <w:b w:val="0"/>
          <w:sz w:val="32"/>
        </w:rPr>
        <w:t>年初预算数284.68万元，决算数280.96万元，预决算差异率-1.31%，主要原因是：年中调减科技馆站项目资金，导致预决算产生差异。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1.科学技术支出(类)280.96万元,占100.00%。</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1.科学技术支出(类)科学技术普及(款)科技馆站(项):支出决算数为280.96万元，比上年决算减少25.23万元，下降8.24%,主要原因是：本年科技馆站项目资金较上年减少。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2024年度一般公共预算财政拨款基本支出193.56万元，其中：</w:t>
      </w:r>
      <w:r>
        <w:rPr>
          <w:rFonts w:ascii="仿宋_GB2312" w:hAnsi="仿宋_GB2312" w:eastAsia="仿宋_GB2312"/>
          <w:b/>
          <w:sz w:val="32"/>
        </w:rPr>
        <w:t>人员经费182.72万元，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奖励金。</w:t>
      </w:r>
    </w:p>
    <w:p>
      <w:pPr>
        <w:spacing w:line="580" w:lineRule="exact"/>
        <w:ind w:firstLine="640"/>
        <w:jc w:val="both"/>
      </w:pPr>
      <w:r>
        <w:rPr>
          <w:rFonts w:ascii="仿宋_GB2312" w:hAnsi="仿宋_GB2312" w:eastAsia="仿宋_GB2312"/>
          <w:b/>
          <w:sz w:val="32"/>
        </w:rPr>
        <w:t>公用经费10.84万元，</w:t>
      </w:r>
      <w:r>
        <w:rPr>
          <w:rFonts w:ascii="仿宋_GB2312" w:hAnsi="仿宋_GB2312" w:eastAsia="仿宋_GB2312"/>
          <w:b w:val="0"/>
          <w:sz w:val="32"/>
        </w:rPr>
        <w:t>包括：办公费、邮电费、差旅费、公务接待费、工会经费、福利费、公务用车运行维护费、其他商品和服务支出。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2024年度财政拨款“三公”经费支出0.54万元，</w:t>
      </w:r>
      <w:r>
        <w:rPr>
          <w:rFonts w:ascii="仿宋_GB2312" w:hAnsi="仿宋_GB2312" w:eastAsia="仿宋_GB2312"/>
          <w:b w:val="0"/>
          <w:sz w:val="32"/>
        </w:rPr>
        <w:t>比上年减少1.84万元，下降77.31%，主要原因是：严格落实中央八项规定精神，厉行节约，减少公务用车运行维护费。</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公务用车购置及运行维护费支出0.45万元，占83.33%，比上年减少1.65万元，下降78.57%，主要原因是：严格落实中央八项规定精神，厉行节约，减少公务用车运行维护费。</w:t>
      </w:r>
      <w:r>
        <w:rPr>
          <w:rFonts w:ascii="仿宋_GB2312" w:hAnsi="仿宋_GB2312" w:eastAsia="仿宋_GB2312"/>
          <w:b w:val="0"/>
          <w:sz w:val="32"/>
        </w:rPr>
        <w:t>公务接待费支出0.09万元，占16.67%，比上年减少0.19万元，下降67.86%，主要原因是：采取有效措施加强公务接待管理，严格控制公务接待活动，认真执行经费开支标准。</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0.45万元，其中：公务用车购置费0.00万元，公务用车运行维护费0.45万元。公务用车运行维护费开支内容包括车辆加油费、维修费、保险费、审车费、过路费。公务用车购置数0辆，公务用车保有量1辆。国有资产占用情况中固定资产车辆1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公务接待费0.09万元，开支内容包括因科技馆发展需求，接待调研考察工作组产生的就餐费。单位全年安排的国内公务接待3批次，25人次。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0.54万元，决算数0.54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0.45万元，决算数0.45万元，预决算差异率0.00%，主要原因是：严格按照预算执行，预决算无差异。公务接待费全年预算数0.09万元，决算数0.09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2024年度昌吉回族自治州科技馆（事业单位）公用经费支出10.84万元，比上年减少5.74万元，下降34.62%，主要原因是：严格控制公用经费，合理节约办公用品，减少不必要开支。</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2024年度政府采购支出总额53.83万元，其中：政府采购货物支出25.14万元、政府采购工程支出0.00万元、政府采购服务支出28.69万元。</w:t>
      </w:r>
    </w:p>
    <w:p>
      <w:pPr>
        <w:spacing w:line="580" w:lineRule="exact"/>
        <w:ind w:firstLine="640"/>
        <w:jc w:val="both"/>
      </w:pPr>
      <w:r>
        <w:rPr>
          <w:rFonts w:ascii="仿宋_GB2312" w:hAnsi="仿宋_GB2312" w:eastAsia="仿宋_GB2312"/>
          <w:b w:val="0"/>
          <w:sz w:val="32"/>
        </w:rPr>
        <w:t>授予中小企业合同金额53.83万元，占政府采购支出总额的100.00%，其中：授予小微企业合同金额53.83万元，占政府采购支出总额的100.00%。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1辆，价值15.61万元，其中：副部（省）级及以上领导用车0辆、主要负责人用车0辆、机要通信用车0辆、应急保障用车0辆、执法执勤用车0辆、特种专业技术用车0辆、离退休干部服务用车0辆、其他用车1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311.00万元，实际执行总额281.81万元；预算绩效评价项目2个，全年预算数5.64万元，全年执行数5.64万元。预算绩效管理取得的成效：一是分馆联动初见成效。州科技馆县市分馆实现了七县市全覆盖，为自治州科技惠民工作持续发力打下了坚实基础。今年以来，七县市特色产业分馆围绕《昌吉州科技馆县市特色产业分馆管理制度》进一步捋清思路，围绕县市主导产业搭建科普平台，截至目前各分馆共开展科普活动890期，受益群众达到19.8万人次。二是数字科技馆搭起新构架。州科技馆数字科技馆通过分期建设，除线上展厅的基本功能外，增加科普活动宣传功能，县市分馆联动功能等互动功能。通过电子政务云和链接端口，与州直相关部门、各宣传平台联动，扩大数字科技馆传播范围，满足广大基层群众对前沿科技的体验需求，打通科普宣传“最后一公里”，面向公众提供更加丰富、便捷且个性化的科普教育体验。三是科普三进活动成效显著。科技馆充分发挥自治区科技教育基地和自治区科普教育基地作用，大力推广科学教育，策划系列科普活动涵盖自然科学、基础科学和天文科学等多个领域。共举办“科普大讲堂”8场次，参与人数达5000余人；开展联动科普活动26次，参与学生与群众共计3.5万余人。6月起科技馆开展了6场次主题为“干冰秀”的科普实验互动表演，参与人数超过600人次。创新科普形式，开展主题巡展进商超活动。今年7-8月州科技馆与中国科学院新疆天文台、新疆天文学会合作在昌吉各大商场开展为期两个月的主题海报巡展，以“解读光学望远镜，追逐星际梦想”为主题展示光学望远镜及天文学知识，累计9.6万余人次参观。开展科技馆“三进”科普活动，科技活动周期间与昌吉州科协合作深入七县市开展家庭科学体验等科普活动3场次，参与人数达5000人次。2024年州科技馆共计开展各项科普活动43场次，参与人数达到14.16万人次。四是“昌吉市青少年科技创业培训基地”项目提升改造工程进展顺利。发现的问题及原因：一是项目指标设置需进一步优化，做到有计划、有步骤、有总结完成指标任务。二是定期开展绩效工作汇报，将绩效申报、监控和自评与资金支付力度紧密结合，加大资金支付力度。三是业务人员绩效管理意识有待增强，未能全面深入认识理解绩效管理工作的意义。绩效管理经验不足，预算绩效管理工作有待进一步落实。下一步改进措施：一是进一步优化项目指标,注重其科学性、实用性、可实现性和可操作性，尽可能地设计客观性的量化指标，并适当使用定性指标;既关注部门的工作目标，也考虑受益者、社会公众的体验和感受，做到相互补充，科学可行。二是进一步建立健全预算管理和专项资金管理制度，加强资金监管，明确工作责任,将项目预算执行情况与年终考核挂钩，提升工作积极性，从而促进项目预算的有序进行。三是充分讨论，集体酝酿，达到绩效目标与预算编制相融合，在实际执行环节，严格执行预算支出，提升预算编制和资金执行的匹配度。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昌吉回族自治州科技馆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90.61%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9.06</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329.43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310.16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280.97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0.84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0.84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329.43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311.00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281.81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计划接待群众不少于30000人次，展厅升级项目不少于1项，全年开展科普活动7场次，开展科学小课堂6次，科普大讲堂6次，保证科技馆免费开放，提升展厅服务质量，最大程度地发挥科技馆科普主阵地作用，为提高公众科学文化素质，构建和谐昌吉发挥积极作用，取得良好的社会反响。</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311万元，全年执行数为281.81万元，总预算执行率为90.61%。2024年我单位完成了以下工作内容：1、展厅升级1项；2、全年开展科普活动7场次、开展科学小课堂6次、科普大讲堂6次。提高了青少年爱科学、学科学的意识。</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常设展览和教育活动人次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&gt;=30000人次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昌吉州科技馆2024年业务工作计划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30000人次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开展科普活动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&gt;=7场次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昌吉州科技馆2024年业务工作计划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科学小课堂课程设计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&gt;=6场次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昌吉州科技馆2024年业务工作计划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科普大讲堂</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&gt;=6次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昌吉州科技馆2024年业务工作计划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展厅升级</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昌吉州科技馆2024年业务工作计划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昌吉州科技馆开展科普活动及展品维修保养</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昌吉回族自治州科学技术局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昌吉回族自治州科技馆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线上线下同步启动的方式，开展一系列科普宣传、讲座等活动，充分体现科技在疫情防控、科普课堂宣传、科技下乡的等多种途径培养孩子对科技创新的兴趣和动手探究的能力，使孩子更爱祖国、爱科学、爱学习。全年开展科普活动7场次，开展科学小课堂6次，科普大讲堂  6次，受益群众达到200000人次。最大程度地发挥科技馆科普主阵地作用，为提高公众科学文化素质，构建和谐昌吉发挥了积极作用。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截止2024年12月31日，该项目实际完成科普活动7场次，科学小课堂6次，科普大讲堂 6次，受益群众达到200000人次，通过该项目的实施，提升了科技馆科普主阵地作用，促进了为提高公众科学文化素质，构建和谐昌吉发挥了积极作用。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开展科普活动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科学小课堂课程设计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科普大讲堂</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受益群众（人次）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&gt;=40000人次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=4000人次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220000人次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开展各项活动资金支付率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开展活动宣传费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提高公众科学文化素质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提高运用科学知识改善生活品质能力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受益群众满意度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机构运行补助经费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昌吉回族自治州科学技术局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昌吉回族自治州科技馆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0.64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0.64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0.64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0.64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昌吉州科技馆是我州唯一一所以实施科教兴州战略、人才强州战略和创新驱动发展战略，提高城市综合竞争力和市民科学文化素养的综合性自然科学技术博物馆，是融展示教育、交流互动、合作发展、创新创业、休闲旅游为一体的疆内一流、昌吉特色的科普教育中心，是我州重要的科普教育基地和精神文明建设基地。弥补机构运行日常公用经费，购置办公设备和用品。</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截止2024年12月31日，该项目实际完成了弥补职工福利人数10人，弥补职工福利费1次，弥补职工福利费0.64万元。通过该项目的实施，提升了昌吉州科技馆机构运行的质量，促进了科普教育基地和精神文明建设基地。</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弥补职工福利人数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年初设定目标为9人，年中引进人才人名，故增加为10人，造成偏差。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弥补职工福利费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年初设定数量指标有变化，故造成数量指标完成率有偏差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弥补福利费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&lt;=0.64万元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=0.64万元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提高公众科学文化素质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拓宽青少年科技知识面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97.77分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