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昌吉回族自治州疾病预防控制中心2024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承担疾病预防与控制、突发公共卫生事件应急处置、疫情报告及健康相关因素信息管理、健康危害因素监测与干预、实验室检测分析与评价、健康教育与健康促进、技术管理与应用研究指导等工作。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昌吉回族自治州疾病预防控制中心2024年度，实有人数165人，其中：在职人员82人，增加0人；离休人员1人，增加0人；退休人员82人,减少2人。</w:t>
      </w:r>
    </w:p>
    <w:p>
      <w:pPr>
        <w:spacing w:line="580" w:lineRule="exact"/>
        <w:ind w:firstLine="640"/>
        <w:jc w:val="both"/>
      </w:pPr>
      <w:r>
        <w:rPr>
          <w:rFonts w:ascii="仿宋_GB2312" w:hAnsi="仿宋_GB2312" w:eastAsia="仿宋_GB2312"/>
          <w:sz w:val="32"/>
        </w:rPr>
        <w:t>昌吉回族自治州疾病预防控制中心无下属预算单位，下设16个科室，分别是：办公室、总务保卫科、财务科、科教信息科、健康教育科、质量管理科、职业卫生科、传染病防治科、应急科、免疫规划科、地方病防治科、性病艾滋病预防控制科、结核病预防控制科、慢性病防治科、检验科、环境与病媒生物防治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2024年度收入总计4,228.90万元，</w:t>
      </w:r>
      <w:r>
        <w:rPr>
          <w:rFonts w:ascii="仿宋_GB2312" w:hAnsi="仿宋_GB2312" w:eastAsia="仿宋_GB2312"/>
          <w:b w:val="0"/>
          <w:sz w:val="32"/>
        </w:rPr>
        <w:t>其中：本年收入合计4,228.90万元，使用非财政拨款结余（含专用结余）0.00万元，年初结转和结余0.00万元。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2024年度支出总计4,228.90万元，</w:t>
      </w:r>
      <w:r>
        <w:rPr>
          <w:rFonts w:ascii="仿宋_GB2312" w:hAnsi="仿宋_GB2312" w:eastAsia="仿宋_GB2312"/>
          <w:b w:val="0"/>
          <w:sz w:val="32"/>
        </w:rPr>
        <w:t>其中：本年支出合计4,228.90万元，结余分配0.00万元，年末结转和结余0.00万元。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823.32万元，下降16.30%，主要原因是：本年聘用人员减少，相关人员经费减少；本年昌吉州疾病预防控制中心快速检测实验室升级改造和设备配置项目按进度结算工程款，上年楼体完成，资金支付较多，导致本年支付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本年收入4,228.90万元，</w:t>
      </w:r>
      <w:r>
        <w:rPr>
          <w:rFonts w:ascii="仿宋_GB2312" w:hAnsi="仿宋_GB2312" w:eastAsia="仿宋_GB2312"/>
          <w:b w:val="0"/>
          <w:sz w:val="32"/>
        </w:rPr>
        <w:t>其中：财政拨款收入2,707.33万元，占64.02%；上级补助收入0.00万元，占0.00%；事业收入0.00万元，占0.00%；经营收入0.00万元，占0.00%；附属单位上缴收入0.00万元，占0.00%；其他收入1,521.57万元，占35.98%。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本年支出4,228.90万元，</w:t>
      </w:r>
      <w:r>
        <w:rPr>
          <w:rFonts w:ascii="仿宋_GB2312" w:hAnsi="仿宋_GB2312" w:eastAsia="仿宋_GB2312"/>
          <w:b w:val="0"/>
          <w:sz w:val="32"/>
        </w:rPr>
        <w:t>其中：基本支出1,782.99万元，占42.16%；项目支出2,445.91万元，占57.84%；上缴上级支出0.00万元，占0.00%；经营支出0.00万元，占0.00%；对附属单位补助支出0.00万元，占0.00%。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2024年度财政拨款收入总计2,707.33万元，</w:t>
      </w:r>
      <w:r>
        <w:rPr>
          <w:rFonts w:ascii="仿宋_GB2312" w:hAnsi="仿宋_GB2312" w:eastAsia="仿宋_GB2312"/>
          <w:b w:val="0"/>
          <w:sz w:val="32"/>
        </w:rPr>
        <w:t>其中：年初财政拨款结转和结余0.00万元，本年财政拨款收入2,707.33万元。</w:t>
      </w:r>
      <w:r>
        <w:rPr>
          <w:rFonts w:ascii="仿宋_GB2312" w:hAnsi="仿宋_GB2312" w:eastAsia="仿宋_GB2312"/>
          <w:b/>
          <w:sz w:val="32"/>
        </w:rPr>
        <w:t>财政拨款支出总计2,707.33万元，</w:t>
      </w:r>
      <w:r>
        <w:rPr>
          <w:rFonts w:ascii="仿宋_GB2312" w:hAnsi="仿宋_GB2312" w:eastAsia="仿宋_GB2312"/>
          <w:b w:val="0"/>
          <w:sz w:val="32"/>
        </w:rPr>
        <w:t>其中：年末财政拨款结转和结余0.00万元，本年财政拨款支出2,707.33万元。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93.66万元，增长3.58%，主要原因是：本年在职人员工资调增，社保、公积金基数调增，人员经费增加；本年新增中央医疗服务与保障能力提升（卫生健康人才培养）补助资金；本年中央重大传染病补助资金较上年增加。</w:t>
      </w:r>
      <w:r>
        <w:rPr>
          <w:rFonts w:ascii="仿宋_GB2312" w:hAnsi="仿宋_GB2312" w:eastAsia="仿宋_GB2312"/>
          <w:b/>
          <w:sz w:val="32"/>
        </w:rPr>
        <w:t>与年初预算相比，</w:t>
      </w:r>
      <w:r>
        <w:rPr>
          <w:rFonts w:ascii="仿宋_GB2312" w:hAnsi="仿宋_GB2312" w:eastAsia="仿宋_GB2312"/>
          <w:b w:val="0"/>
          <w:sz w:val="32"/>
        </w:rPr>
        <w:t>年初预算数2,420.00万元，决算数2,707.33万元，预决算差异率11.87%，主要原因是：年中追加人员工资、社保、公积金基数调增部分资金，年中追加中央财政基本公共卫生服务补助资金（第二批）、中央财政重大传染病防控[第二批]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2024年度一般公共预算财政拨款支出2,707.33万元，</w:t>
      </w:r>
      <w:r>
        <w:rPr>
          <w:rFonts w:ascii="仿宋_GB2312" w:hAnsi="仿宋_GB2312" w:eastAsia="仿宋_GB2312"/>
          <w:b w:val="0"/>
          <w:sz w:val="32"/>
        </w:rPr>
        <w:t>占本年支出合计的64.02%。</w:t>
      </w:r>
      <w:r>
        <w:rPr>
          <w:rFonts w:ascii="仿宋_GB2312" w:hAnsi="仿宋_GB2312" w:eastAsia="仿宋_GB2312"/>
          <w:b/>
          <w:sz w:val="32"/>
        </w:rPr>
        <w:t>与上年相比，</w:t>
      </w:r>
      <w:r>
        <w:rPr>
          <w:rFonts w:ascii="仿宋_GB2312" w:hAnsi="仿宋_GB2312" w:eastAsia="仿宋_GB2312"/>
          <w:b w:val="0"/>
          <w:sz w:val="32"/>
        </w:rPr>
        <w:t>增加93.66万元，增长3.58%，主要原因是：本年在职人员工资调增，社保、公积金基数调增，人员经费增加；本年新增中央医疗服务与保障能力提升（卫生健康人才培养）补助资金；本年中央重大传染病补助资金较上年增加。</w:t>
      </w:r>
      <w:r>
        <w:rPr>
          <w:rFonts w:ascii="仿宋_GB2312" w:hAnsi="仿宋_GB2312" w:eastAsia="仿宋_GB2312"/>
          <w:b/>
          <w:sz w:val="32"/>
        </w:rPr>
        <w:t>与年初预算相比,</w:t>
      </w:r>
      <w:r>
        <w:rPr>
          <w:rFonts w:ascii="仿宋_GB2312" w:hAnsi="仿宋_GB2312" w:eastAsia="仿宋_GB2312"/>
          <w:b w:val="0"/>
          <w:sz w:val="32"/>
        </w:rPr>
        <w:t>年初预算数2,420.00万元，决算数2,707.33万元，预决算差异率11.87%，主要原因是：年中追加人员工资、社保、公积金基数调增部分资金，年中追加中央财政基本公共卫生服务补助资金（第二批）、中央财政重大传染病防控[第二批]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1.社会保障和就业支出(类)295.68万元,占10.92%。</w:t>
      </w:r>
    </w:p>
    <w:p>
      <w:pPr>
        <w:spacing w:line="580" w:lineRule="exact"/>
        <w:ind w:firstLine="640"/>
        <w:jc w:val="both"/>
      </w:pPr>
      <w:r>
        <w:rPr>
          <w:rFonts w:ascii="仿宋_GB2312" w:hAnsi="仿宋_GB2312" w:eastAsia="仿宋_GB2312"/>
          <w:b w:val="0"/>
          <w:sz w:val="32"/>
        </w:rPr>
        <w:t>2.卫生健康支出(类)2,290.25万元,占84.59%。</w:t>
      </w:r>
    </w:p>
    <w:p>
      <w:pPr>
        <w:spacing w:line="580" w:lineRule="exact"/>
        <w:ind w:firstLine="640"/>
        <w:jc w:val="both"/>
      </w:pPr>
      <w:r>
        <w:rPr>
          <w:rFonts w:ascii="仿宋_GB2312" w:hAnsi="仿宋_GB2312" w:eastAsia="仿宋_GB2312"/>
          <w:b w:val="0"/>
          <w:sz w:val="32"/>
        </w:rPr>
        <w:t>3.住房保障支出(类)119.17万元,占4.40%。</w:t>
      </w:r>
    </w:p>
    <w:p>
      <w:pPr>
        <w:spacing w:line="580" w:lineRule="exact"/>
        <w:ind w:firstLine="640"/>
        <w:jc w:val="both"/>
      </w:pPr>
      <w:r>
        <w:rPr>
          <w:rFonts w:ascii="仿宋_GB2312" w:hAnsi="仿宋_GB2312" w:eastAsia="仿宋_GB2312"/>
          <w:b w:val="0"/>
          <w:sz w:val="32"/>
        </w:rPr>
        <w:t>4.其他支出(类)2.23万元,占0.08%。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1.社会保障和就业支出(类)行政事业单位养老支出(款)事业单位离退休(项):支出决算数为63.86万元，比上年决算增加18.69万元，增长41.38%,主要原因是：本年增加退休人员基础绩效奖，退休费支出增加。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150.57万元，比上年决算增加6.98万元，增长4.86%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81.24万元，比上年决算减少35.21万元，下降30.24%,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4.卫生健康支出(类)卫生健康管理事务(款)其他卫生健康管理事务支出(项):支出决算数为3.15万元，比上年决算增加3.15万元，增长100.00%,主要原因是：本年新增中央医疗服务与保障能力提升（卫生健康人才培养）补助资金。</w:t>
      </w:r>
    </w:p>
    <w:p>
      <w:pPr>
        <w:spacing w:line="580" w:lineRule="exact"/>
        <w:ind w:firstLine="640"/>
        <w:jc w:val="both"/>
      </w:pPr>
      <w:r>
        <w:rPr>
          <w:rFonts w:ascii="仿宋_GB2312" w:hAnsi="仿宋_GB2312" w:eastAsia="仿宋_GB2312"/>
          <w:b w:val="0"/>
          <w:sz w:val="32"/>
        </w:rPr>
        <w:t>5.卫生健康支出(类)公共卫生(款)疾病预防控制机构(项):支出决算数为1,301.83万元，比上年决算增加30.40万元，增长2.39%,主要原因是：本年增加采购计划资金；本年退休人员去世，增加抚恤经费。</w:t>
      </w:r>
    </w:p>
    <w:p>
      <w:pPr>
        <w:spacing w:line="580" w:lineRule="exact"/>
        <w:ind w:firstLine="640"/>
        <w:jc w:val="both"/>
      </w:pPr>
      <w:r>
        <w:rPr>
          <w:rFonts w:ascii="仿宋_GB2312" w:hAnsi="仿宋_GB2312" w:eastAsia="仿宋_GB2312"/>
          <w:b w:val="0"/>
          <w:sz w:val="32"/>
        </w:rPr>
        <w:t>6.卫生健康支出(类)公共卫生(款)基本公共卫生服务(项):支出决算数为68.97万元，比上年决算减少63.19万元，下降47.81%,主要原因是：本年中央财政基本公共卫生服务补助资金较上年减少。</w:t>
      </w:r>
    </w:p>
    <w:p>
      <w:pPr>
        <w:spacing w:line="580" w:lineRule="exact"/>
        <w:ind w:firstLine="640"/>
        <w:jc w:val="both"/>
      </w:pPr>
      <w:r>
        <w:rPr>
          <w:rFonts w:ascii="仿宋_GB2312" w:hAnsi="仿宋_GB2312" w:eastAsia="仿宋_GB2312"/>
          <w:b w:val="0"/>
          <w:sz w:val="32"/>
        </w:rPr>
        <w:t>7.卫生健康支出(类)公共卫生(款)重大公共卫生服务(项):支出决算数为756.55万元，比上年决算增加216.14万元，增长40.00%,主要原因是：本年中央重大传染病补助资金较上年增加。</w:t>
      </w:r>
    </w:p>
    <w:p>
      <w:pPr>
        <w:spacing w:line="580" w:lineRule="exact"/>
        <w:ind w:firstLine="640"/>
        <w:jc w:val="both"/>
      </w:pPr>
      <w:r>
        <w:rPr>
          <w:rFonts w:ascii="仿宋_GB2312" w:hAnsi="仿宋_GB2312" w:eastAsia="仿宋_GB2312"/>
          <w:b w:val="0"/>
          <w:sz w:val="32"/>
        </w:rPr>
        <w:t>8.卫生健康支出(类)公共卫生(款)其他公共卫生支出(项):支出决算数为78.63万元，比上年决算减少80.99万元，下降50.74%,主要原因是：本年中央医疗服务与保障能力提升（医疗卫生机构能力建设卫生健康人才培养）较上年减少。</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9.卫生健康支出(类)行政事业单位医疗(款)事业单位医疗(项):支出决算数为75.50万元，比上年决算增加1.23万元，增长1.66%,主要原因是：本年在职人员工资基数调增，医疗缴费基数上涨，相应支出增加。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10.卫生健康支出(类)行政事业单位医疗(款)公务员医疗补助(项):支出决算数为4.66万元，比上年决算增加0.02万元，增长0.43%,主要原因是：本年在职人员工资基数调增，医疗缴费基数上涨，相应支出增加。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0.96万元，比上年决算增加0.13万元，增长15.66%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12.资源勘探工业信息等支出(类)工业和信息产业监管(款)产业发展(项):支出决算数为0.00万元，比上年决算减少2.00万元，下降100.00%,主要原因是：本年减少自治区葡萄酒产业发展专项资金。</w:t>
      </w:r>
    </w:p>
    <w:p>
      <w:pPr>
        <w:spacing w:line="580" w:lineRule="exact"/>
        <w:ind w:firstLine="640"/>
        <w:jc w:val="both"/>
      </w:pPr>
      <w:r>
        <w:rPr>
          <w:rFonts w:ascii="仿宋_GB2312" w:hAnsi="仿宋_GB2312" w:eastAsia="仿宋_GB2312"/>
          <w:b w:val="0"/>
          <w:sz w:val="32"/>
        </w:rPr>
        <w:t>13.住房保障支出(类)住房改革支出(款)住房公积金(项):支出决算数为119.17万元，比上年决算增加5.66万元，增长4.99%,主要原因是：本年在职人员工资基数调增，公积金缴费基数上涨，相应支出增加。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14.其他支出(类)其他支出(款)其他支出(项):支出决算数为2.23万元，比上年决算减少7.37万元，下降76.77%,主要原因是：本年为民办实事工作经费较上年减少。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2024年度一般公共预算财政拨款基本支出1,782.99万元，其中：</w:t>
      </w:r>
      <w:r>
        <w:rPr>
          <w:rFonts w:ascii="仿宋_GB2312" w:hAnsi="仿宋_GB2312" w:eastAsia="仿宋_GB2312"/>
          <w:b/>
          <w:sz w:val="32"/>
        </w:rPr>
        <w:t>人员经费1,654.14万元，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公用经费128.85万元，</w:t>
      </w:r>
      <w:r>
        <w:rPr>
          <w:rFonts w:ascii="仿宋_GB2312" w:hAnsi="仿宋_GB2312" w:eastAsia="仿宋_GB2312"/>
          <w:b w:val="0"/>
          <w:sz w:val="32"/>
        </w:rPr>
        <w:t>包括：办公费、水费、电费、邮电费、取暖费、差旅费、维修（护）费、公务接待费、劳务费、工会经费、福利费、公务用车运行维护费、其他商品和服务支出。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2024年度财政拨款“三公”经费支出18.20万元，</w:t>
      </w:r>
      <w:r>
        <w:rPr>
          <w:rFonts w:ascii="仿宋_GB2312" w:hAnsi="仿宋_GB2312" w:eastAsia="仿宋_GB2312"/>
          <w:b w:val="0"/>
          <w:sz w:val="32"/>
        </w:rPr>
        <w:t>比上年增加0.02万元，增长0.11%，主要原因是：本年度公务接待费中接待人次较上年增加，导致公务接待费较上年增加。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公务用车购置及运行维护费支出18.00万元，占98.90%，比上年增加0.00万元，增长0.00%，主要原因是：我单位公务用车运行维护费与上年一致无变化。</w:t>
      </w:r>
      <w:r>
        <w:rPr>
          <w:rFonts w:ascii="仿宋_GB2312" w:hAnsi="仿宋_GB2312" w:eastAsia="仿宋_GB2312"/>
          <w:b w:val="0"/>
          <w:sz w:val="32"/>
        </w:rPr>
        <w:t>公务接待费支出0.20万元，占1.10%，比上年增加0.02万元，增长11.11%，主要原因是：本年度接待人次较上年增加，导致公务接待费较上年增加。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18.00万元，其中：公务用车购置费0.00万元，公务用车运行维护费18.00万元。公务用车运行维护费开支内容包括车辆燃油费、保险费、维修维护费、过路费等。公务用车购置数0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0.20万元，开支内容包括因自治区脊髓灰质炎技术帮扶工作、福建省卫监所专家来昌指导帮扶、山西省疾控开展慰问援疆干部和观摩指导州疾控中心应急演练建设工作、福建省龙岩市疾控中心开展业务交流工作，接待上级领导和工作人员检查产生的就餐费。单位全年安排的国内公务接待4批次，16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18.50万元，决算数18.20万元，预决算差异率-1.62%，主要原因是：严格控制公务接待活动，认真执行经费开支标准，减少公务接待运行成本费用。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18.00万元，决算数18.00万元，预决算差异率0.00%，主要原因是：严格按照预算执行，预决算无差异。公务接待费全年预算数0.50万元，决算数0.20万元，预决算差异率-60.00%，主要原因是：严格控制公务接待活动，认真执行经费开支标准，减少公务接待运行成本费用。</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2024年度昌吉回族自治州疾病预防控制中心（事业单位）公用经费支出128.85万元，比上年减少27.87万元，下降17.78%，主要原因是：严格控制公用经费，合理节约办公用品，减少不必要开支。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2024年度政府采购支出总额860.48万元，其中：政府采购货物支出503.74万元、政府采购工程支出0.00万元、政府采购服务支出356.74万元。</w:t>
      </w:r>
    </w:p>
    <w:p>
      <w:pPr>
        <w:spacing w:line="580" w:lineRule="exact"/>
        <w:ind w:firstLine="640"/>
        <w:jc w:val="both"/>
      </w:pPr>
      <w:r>
        <w:rPr>
          <w:rFonts w:ascii="仿宋_GB2312" w:hAnsi="仿宋_GB2312" w:eastAsia="仿宋_GB2312"/>
          <w:b w:val="0"/>
          <w:sz w:val="32"/>
        </w:rPr>
        <w:t>授予中小企业合同金额860.48万元，占政府采购支出总额的100.00%，其中：授予小微企业合同金额860.48万元，占政府采购支出总额的100.00%。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7,838.52平方米，价值961.09万元。车辆8辆，价值218.51万元，其中：副部（省）级及以上领导用车0辆、主要负责人用车0辆、机要通信用车0辆、应急保障用车0辆、执法执勤用车0辆、特种专业技术用车7辆、离退休干部服务用车0辆、其他用车1辆，其他用车主要是：一般公务用车，用于办事人员外勤办事。单价100万元（含）以上设备（不含车辆）8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4,228.90万元，实际执行总额4,228.90万元；预算绩效评价项目18个，全年预算数873.34万元，全年执行数839.42万元。预算绩效管理取得的成效：一是慎终如始抓好常态化疫情防控。一是持续巩固疫情防控成果；二是积极稳妥推进新冠病毒疫苗接种工作，严格执行“三查七对一验证”。 二是强化卫生应急处置能力。继续做好各类重大突发事件卫生应急工作及各项重大活动的卫生应急保障，进一步加强卫生应急队伍规范化建设。三是强化疾控业务、科研教学工作。加强业务培训、主动培训的系统性、针对性和实用性。四是强化免疫规划体系建设。巩固免疫规划规范化管理专项整治活动成效，不断提高工作质量和工作水平。五是强化实验室检验监测水平。推进项目和信息化建设，全力以赴做好实验室建设项目，加快疾控系统信息化建设步伐，为传染病监测和诊断提供科学依据。发现的问题及原因：一是绩效指标的明确性、可衡量性、相关性还需进一步提升。预算精细化管理还需完善，预算编制管理水平仍有进一步提升的空间。二是业务人员绩效管理意识有待增强，未能全面深入认识理解绩效管理工作的意义。绩效管理经验不足，预算绩效管理工作有待进一步落实。三是应对突发公共卫生事件工作研究谋划不够全面，公共卫生应急处突能力与促进经济社会高质量发展目标任务、最大限度保障人民群众生命安全和身体健康目标要求还有差距。下一步改进措施：一是高度重视财政预决算工作，加强预算的约束力。二是加强内部管理，严格执行预算，坚持厉行节约，进一步降低财务支出。三是加大疾病预防知识宣传力度。结合“全民健康生活宣传月”“全国爱牙日”等活动，组织干部职工深入县(市)、乡镇(村)、街道(社区)、学校、厂矿企业等地方，积极开展老年人常见病、学生常见病、地方病、职业病等各类疾病预防知识宣传，把老百姓关切的疾病预防知识送到基层一线。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705.07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837.05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837.05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1,714.92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1,870.28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1,870.28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2,450.39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4,228.90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4,228.90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一是按照区州政府部门要求，依据《2019年-2022年艾滋病防治行动计划》指导各县市如期完成2024年度性病、艾滋病和丙肝综合防治工作的各项指标。实现及早发现并规范治疗，同时逐步完善医疗保障政策，使患者负担进一步减轻，艾滋病疫情势头得到明显遏制。</w:t>
              <w:br/>
              <w:br/>
              <w:t xml:space="preserve">  二是依据《国家结核病防治指南》、《自治区2024年结核病防治专项行动计划》的要求，完成昌吉州结核病防治工作。逐步加强全州基层结核病防治医务人员的诊疗能力、逐步提升结核病防治人员工作能力，从而降低结核病发病率，保障人民群众身体健康。</w:t>
              <w:br/>
              <w:br/>
              <w:t xml:space="preserve">  三是依据《疫苗管理法》、《疫苗流通与预防接种管理条例》、《预防接种工作规范》等要求，针对本级及各县市冷链进行规范管理和指导，使国家免疫规划疫苗和非免疫规划疫苗实现全过程温控监测，确保疫苗效价，保障疫苗质量。</w:t>
              <w:br/>
              <w:br/>
              <w:t xml:space="preserve">  四是根据《新疆维吾尔自治区基层工会经费收支管理办法实施细则》（新工办【2019】3号）文件精神，和州本级配发的机构运行经费，运用于职工节日慰问、联谊、帮扶、送温暖等，以此保障工会会员的权益，同时维护机构稳定运行。</w:t>
              <w:br/>
              <w:br/>
              <w:t xml:space="preserve">  五是依据《自治区食品安全风险监测方案》、《关于国家遏制艾滋病传染方案》（2019-2022）、《自治区2024年结核病防治专项行动计划》、《自治区学生常见病工作实施方案》、《自治区死因监测工作实施方案》等，完成2023年度重大传染病防控和基本公共卫生防控工作，保障全域人民群众生命安全，降低疾病的传播性，逐步提高医务人员工作能力。</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年我单位全年预算数为4,228.90万元，全年执行数为4,228.90万元，总预算执行率为100.00%。2024 年我单位完成以下工作内容：结核病防治督导与宣传7次，冷库每日温度监测2次，开展艾滋病病人病毒载量核查1168人次，疫苗储存温度达标率达到100%，劳务人员报酬发放及时率达到100%，结核病防治核心知识知晓率达到90.4%，艾滋病疫情报告及时率达到100%，艾滋病病人治疗有效率达到96.3%，通过单位工作开展保障全域人民群众生命安全，降低疾病的传播性，逐步提高医务人员工作能力。</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结核病防治督导与宣传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《2024年昌吉州结核专项行动方案》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疫苗储存温度达标率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《疫苗管理法》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劳务人员报酬发放及时率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《2024年昌吉州疾控中心年度预算》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冷库每日温度监测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《疫苗管理法》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结核病防治核心知识知晓率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《2024年昌吉州结核专项行动方案》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开展艾滋病病人病毒载量（人）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《昌吉州艾滋病性病综合防治工作指导方案》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1168人次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艾滋病疫情报告及时率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《昌吉州艾滋病性病综合防治工作指导方案》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艾滋病病人治疗有效率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《昌吉州艾滋病性病综合防治工作指导方案》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2022年中央财政重大传染病防控（第二批）经费预算的通知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1.国家免疫规划疫苗配送次数4次每年，适龄儿童免疫规划疫苗接种率≥90%；2.犬驱虫（包括野外犬）完成率达到90%以上、包虫病人群主动筛查任务完成率达到80%以上；3.疫苗冷链定期维护，按时完成人员培训等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截止12月31日国家免疫规划疫苗配送次数4次每年，适龄儿童免疫规划疫苗接种率99.34%；犬驱虫（包括野外犬）完成率达到93.61%、包虫病人群主动筛查任务完成率达到100%；提升了全民健康水平，受益群众满意度95%。</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国家免疫规划疫苗配送次数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国家免疫规划疫苗接种率（%）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犬驱虫（包括野外犬）完成率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包虫病人群主动筛查任务完成率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提升健康水平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根据上年完成情况制定年初目标，本年度项目实际开展情况良好，产生偏差。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2023年中央医疗服务与保障能力提升（医疗卫生机构能力建设卫生健康人才培养）补助资金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预计开展传染病和突发公共卫生事件应急能力培训1次，州、县基层传染病应急小分队数量7个，州、县级基层传染病应急小分队后备队员参加人数60人，应急项目计划完成时间为2024年12月15日前，提升州、县级基层传染病应急小分队传染病防控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开展传染病和突发公共卫生事件应急能力培训1次，建设州、县基层传染病应急小分队数量7个，州、县级基层传染病应急小分队后备队员参加人数60人，应急项目计划已在2024年12月15日前完成，已逐步提升州、县级基层传染病应急小分队传染病防控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开展传染病和突发公共卫生事件应急能力培训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州、县基层传染病应急小分队数量（7县市）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州、县级基层传染病应急小分队后备队员参加人数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公共卫生事件应急能力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其他资本性支出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州、县级基层传染病应急小分队传染病防控能力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2023年中央重大传染病补助资金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181.42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181.42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1、国家免疫规划疫苗配送次数4次，适龄儿童国家免疫规划疫苗接种率大于90%。2、进一步减少结核感染，患病和死亡，切实降低结核病疾病负担，提高人民群众健康水平，促进国民经济发展和社会和谐稳定。</w:t>
              <w:br/>
              <w:t>2、全州报告肺结核患者及疑似肺结核患者总体到位率达到95%以上；重点人群肺结核筛查率达到95%以上；肺结核患者规范管理率达到90%以上；艾滋病感染者及病人肺结核筛查率达到90%以上，病原学阳性率达到55%以上，高危人群及病原学阳性肺结核患者耐药筛查率达到95%以上；传染期肺结核患者集中隔离治疗+营养早餐覆盖率达到95%以上；公众结核病防治知识知晓率达到85%以上，肺结核患者成功治疗率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对县市进行国家免疫规划疫苗配送4次；全年开展慢病业务培训1次，慢病培训指导县市覆盖率100%；全州结核病患者成功治疗率率为96.74%，病原学阳性耐药筛查率99.49%。国家免疫规划疫苗接种率99.34%。提高了全民健康水平，受益群众满意度达到 95%。</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国家免疫规划疫苗配送次数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开展慢病业务培训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肺结核患者成功治疗率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病原学阳性肺结核患者耐药筛查率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国家免疫规划疫苗接种率（%）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慢病培训指导县市覆盖率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因机构改革，工作任务整合，费用有结余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其他资本性支出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因机构改革，工作任务整合，费用有结余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因机构改革，工作任务整合，费用有结余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提升全民健康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2023年医疗服务与保障能力提升（医疗卫生机构能力建设）补助资金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提升一家地级疾病预防控制中心职业卫生放射卫生实验室检测能力，购买一批相应仪器设备，地市级职业病防治技术支撑能力较上年增强，提高职业卫生放射卫生实验室检测水平。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实验室检测能力提升数量1家，购买仪器设备1批，设备验收合格率达100%，项目在2024年8月27日前完成，其他资本性支出3.49万元，项目预算控制率达100%，放射卫生实验室检测水平有效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实验室检测能力提升数量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购买仪器设备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其他资本性支出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提高放射卫生实验室检测水平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2023年基本公共卫生服务补助资金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重点职业病监测的县市覆盖率达95%，地方病治疗完成率、现症病人管理率和随访率达95%，开展重点职业病监测任务完成率达80%，提高昌吉州职业健康检查服务覆盖率和职业病诊断机构服务水平，进一步落实重点职业人群健康权益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重点职业病监测的县市覆盖率达100%，地方病治疗完成率、现症病人管理率和随访率、地方病现症病人随访率达100%，开展重点职业病监测任务完成率达100%，2024年11月30日前已完成重点职业病项目工作，差旅费5.29万、专用材料费1.86万、印刷费0.09万、其他交通费用4.13万、专用设备购置4.21万、维修维护费5.85万、培训费2.09万均已100%完成支出，重点职业病监测水平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开展重点职业病监测县（区）覆盖率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年初根据往年工作开展情况制定预算目标，本年度实际实施情况较好，产生偏差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地方病治疗完成率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年初根据自治区及国家要求制定预算目标，本年度实际实施情况较好，产生偏差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地方病现症病人管理率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年初根据自治区及国家要求制定预算目标，本年度实际实施情况较好，产生偏差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地方病现症病人随访率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年初根据自治区及国家要求制定预算目标，本年度实际实施情况较好，产生偏差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开展重点职业病监测任务完成率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年初根据往年工作开展情况制定预算目标，本年度实际实施情况较好，产生偏差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重点职业病项目工作完成时间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提高重点职业病监测水平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2024年中央医疗服务与保障能力提升（医疗卫生机构能力建设、卫生健康人才培养）补助资金预算的通知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计划赴基层开展卫生应急业务指导1次，参加传染病实验室检测质量考核实验室数量4个，传染病实验室检测考核病原种类10个，传染病实验室检测考核实验项目数15个。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7县市基层卫生应急业务指导1次；参加传染病实验室检测质量考核实验室4个，完成的传染病实验室检测考核病原种类10个，完成的传染病实验室检测考核实验项目数15个，州、县基层传染病小分队传染病防控能力逐步增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赴基层开展卫生应急业务指导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传染病实验室检测质量考核实验室数量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传染病实验室检测考核病原种类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传染病实验室检测考核实验项目数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采购实验室试剂耗材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传染病实验室检测质量考核合格率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卫生应急项目计划完成时间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州、县基层传染病应急小分队传染病防控能力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2024年基本公共卫生服务补助资金的通知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开展鼠疫防控技术指导，各县市鼠疫防控能力逐步提升，完成300只旱獭监测任务数，完成340只大沙鼠监测任务数。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开展鼠疫防控技术指导，提升各县市鼠疫防控监测能力，提高鼠疫防控工作质量，开展鼠疫防控应急演练，使得各县市鼠疫防控能力逐步提升，按时完成自治区鼠疫监测任务数，捕获345只旱獭和381只大沙鼠监测任务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开展鼠疫防控技术指导（7县市）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旱獭鼠疫监测任务数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=345只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大沙鼠鼠疫监测任务数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&gt;=340只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=381只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地方病防治完成率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地方病现症病人管理率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地方病现症病人随访率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根据自治区及国家要求制定年初预算目标，本年度项目实际开展情况良好，产生偏差。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鼠防项目计划完成时间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县市应对鼠疫防控能力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2024年机关运行经费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3万元用于行政户弥补工会经费保障职工合法权益的资金缺口，0.37万元用于其他税费，15.83万元用于支付残疾人保障金，0.79万元用于支付单位厨师本年工资。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工会针对82名会员开展节日慰问，针对会员生育、生病、家属丧事开展慰问活动3次；年内按上级要求缴纳残疾人保障金1次；支付厨师工资2次，以保障餐厅正常运转，保障职工正常就餐；年内筹办各类职工活动，激励职工积极参加，保障活动圆满完成；本年度，单位按时开展各箱慰问活动，针对职工家中突发事件，及时送上组织的关心，受到职工好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节日福利涵盖的人数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开展工会慰问职工活动次数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支付残保金次数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支付厨师劳动报酬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开展工会活动完成率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其他税费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残疾人保障金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厨师劳动报酬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及时慰问，按时开展各项慰问活动，以保障工会会员利益。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2024年重大传染病防控经费预算的通知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开展卫生应急技术指导7个县市，组织疾控系统卫生应急队伍练兵大比武活动1次，组织开展口岸重点传染病联防联控活动1次。工作于2024年12月15日前完成，县市卫生应急能力得到提升。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截止2024年12月31日，开展卫生应急技术指导7个县市，组织疾控系统卫生应急队伍练兵大比武活动1次，组织开展口岸重点传染病联防联控活动1次。工作已于2024年12月15日前完成，县市卫生应急能力得到逐步提升。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开展卫生应急技术指导（7县市）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组织疾控系统卫生应急队伍练兵大比武活动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组织开展口岸重点传染病联防联控活动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购置发电机、帐篷、户外单人宿营、应急服、消毒药剂等应急物资设备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卫生应急及时率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年初按照方案要求制定全年指标，实际实施过程中完成较好，产生偏差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县市卫生应急能力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2024年重大传染病防控经费预算通知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减少结核感染、患病和死亡，切实降低结核病疾病负担，提高人民群众健康水平，促进国民经济发展和社会和谐稳定。2、完成手足口病、人禽流感、急性呼吸道传染病监测工作，及时开展疫情分析和预警，降低人群手足口病、人禽流感、急性呼吸道传染病的发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昌吉州疾控流感网络实验室检测流感样病例样本1444份；外环境标准禽流感检测128份；职业暴露人群禽流感血清样本检测50份；手足口/疱疹性咽峡炎病例网络实验室核酸样本检测291份；开展艾滋病病人病毒载量检测1168人次；艾滋病扩大检测104.5万人次；艾滋病免费抗病毒治疗任务完成率97.5%；开展慢病业务培训1次；新冠变异株监测样本372份；结核病患者总体率为98.83%，病原学阳性率为64.01%，非结核患者规范管理率为96.97%，非结核患者成功治疗率为96.74%，高危人群耐药筛查率为100%，病原学阳性耐药筛查率为99.49%；艾滋病高危人群检测比例100%；慢病培训指导县市覆盖率100%；犬驱虫（包括野外犬）完成率达93.61%，包虫病人群主动筛查率100%；艾滋病疫情报告及时率100%；差旅费支出36.09万元，物业管理费支出1.33万元，委托业务费支出6.55万元，交通费用支出19.65万元，其他商品和服务支出30万元，专用设备购置支出60.6万元，维修维护费6.5万元，印刷费支出3.9万元，劳务费支出2.4万元，专用材料费246.34万元，培训费支出6.01万元；全州各项指标均按期完成，通过项目的实施，提升了居民的健康水平和生活质量，促进了昌吉州公共卫生事业的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流感网络实验室检测流感样病例样本量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&gt;=640份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=1444份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外环境标本禽流感检测量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职业暴露人群禽流感血清检测量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手足口/疱疹性咽峡炎病例网络实验室核酸检测量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&gt;=224份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开展艾滋病病人病毒载量检测（人次）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&gt;=1150人次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=1168人次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1129人次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艾滋病扩大检测（万人次）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&gt;=82万人次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=104.5万人次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艾滋病免费抗病毒治疗任务完成率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开展慢病业务培训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新冠变异株监测序列数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&gt;=280份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肺结核患者成功治疗率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病原学阳性肺结核患者耐药筛查率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艾滋病高危人群（暗娼、男性同性性行为人群）检测比例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慢病培训指导县市覆盖率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犬驱虫（包括野外犬）完成率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包虫病人群主动筛查任务完成率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艾滋病疫情报告及时率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&lt;=51.90万元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&lt;=252.17万元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=246.34万元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年初预算存在偏差，年末资金有结转结余情况</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艾滋病疫情处于低流行水平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艾滋病感染者和病人的满意度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年初预算存在偏差，本年度任务超额完成</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冷链业务经费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冷链管理关系免疫规划工作成效，严格按照《疫苗管理法》、《疫苗流通与预防接种管理条例》、《预防接种工作规范》等要求做好本级及指导下级对疫苗进行规范管理。疫苗是为了预防、控制疾病的发生、流行，预防接种是预防控制疾控最有效、经济的途径，为孩子提供安全、全面持久的保护。冷链是为了保障疫苗质量，使国家免疫规划疫苗和非免疫规划疫苗实现全过程温控监测，确保疫苗效价。疾控中心、接种单位均应建立健全冷链设备档案，并对疫苗储存、运输全过程监控，冷链设备运行状况进行记录并日常维护、定期验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开展对基层免疫规划工作帮扶指导4次，对县市配发疫苗4次，全州国家免疫规划疫苗接种率达99.34%，全年12个月冷链疫苗温度监测稳定运行，未出现未监测情况，通过该项目实施保障了全州疫苗质量，提高了人群疫苗接种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对基层免疫规划工作帮扶指导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疫苗配送次数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国家免疫规划疫苗接种率（%）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冷链疫苗温度监测稳定运行时间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疫苗冷链监测用电费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冷链维修、维护费用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保障疫苗质量，提高人群疫苗接种率，建立有效免疫屏障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未跟踪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医疗服务与保障能力提升[卫生健康人才培养]补助资金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职业病防治人才培养率达80%，职业病骨干人才培养数达7人，培训合格率达到80%，于2024年11月30日前完成该项目工作，以提升职业病防治人员专业水平。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职业病防治人才培训完成率达100%，职业病骨干人才培养数7人，职业病防治人才培训合格率达100%，职业病防治人才培养项目于2024年10月30日前已完成，培训费2.55万、差旅费3.21万已全部支出完成，职业病防治人员专业水平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职业病防治人才培训完成率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年初根据往年人才培养项目开展情况制定预期目标，本年度项目实际实施情况较好，产生偏差。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职业病骨干人才培养数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职业病防治人才培训合格率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年初根据往年人才培养项目开展情况制定预期目标，本年度项目实际实施情况较好，产生偏差。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职业病防治人才培养项目完成时间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职业病防治人员专业水平提高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新疆昌吉州公共卫生领域卫生健康标准化试点项目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通过卫生健康标准化试点项目的实施，推动公共卫生领域卫生健康标准的普及与推广，促进卫生健康工作提质增效。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项目结题报告书1份，全州各县市完成现场培训及标准宣讲工作，培训满意度达到预期效果；劳务费0.61万元、印刷费0.35万元、其他交通费0.77万元、差旅费1.13万元均已100%支付；项目顺利结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完成项目产出报告书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项目宣传、培训、调查完成率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年初按照往年项目支付进度制定预期目标，项目实际实施情况较好，产生偏差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推动公共卫生健康标准的普及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培训效果满意度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年初按照往年培训满意度调查结果制定预期目标，项目实际实施培训效果较好，产生偏差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昌吉州突发公共卫生事件卫生应急业务经费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指标1：举办两期突发公共卫生事件卫生应急能力培训班，培养60名能胜任较大规模突发公共卫生事件卫生应急处置专业技术人员；指标2：举办两起突发公共卫生事件卫生应急演练，涉及重大传染病疫情和自然灾害灾后防疫等内容。指标3：购置一批卫生应急物资；指标4：开展2次卫生应急管理现场指导。</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举办1期突发公共卫生事件卫生应急能力培训班，培训60名能胜任突发公共卫生事件卫生应急处置专业技术人员；举办1起突发公共卫生事件卫生应急演练，涉及重大传染病疫情和自然灾害灾后防疫等内容；购置1批卫生应急物资；开展2次卫生应急管理现场指导。</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指标1：卫生应急培训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指标2：卫生应急演练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指标4：卫生应急管理现场指导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指标1：较大突发公共卫生事件卫生应急处置率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指标2：突发公共卫生事件网络直报覆盖率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8家疾控中心项目完成时间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掌握突发公共卫生事件发生现状，不断探索突发公共卫生事件的预测预警机制；掌握对健康危害因素，降低突发公共卫生事件发生风险。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为制定科学精准的突发公共卫生事件防控策略提供依据和技术支持，保障人民的生命安全和身体健康。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通过项目实施有效提升全州突发公共卫生事件卫生应急处置能力，保持社会经济的可持续发展有重大影响。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对于预防控制突发公共卫生事件发生，具有可持续发展的影响。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为单位整体运行提供保安、保洁、车辆驾驶服务和职工餐厅农副产品供应服务，提高单位后勤保障能力。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保障了单位100名在编人员及10名临时聘用人员的正常工作，保安、保洁、驾驶员的服务质量均合格，提供服务频次为每周5次，分别支付工资22.25万元、5万元、25万元；通过该项目的实施，提升了单位后勤保障服务水平，保障了机构稳定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临时聘用人员人数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提供服务频次（次/周）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驾驶员成本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单位后勤保障服务水平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病原微生物资源保藏设施</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完成重要战略微生物资源保藏技术优化与平台建设科研课题项目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重要战略微生物资源保藏技术优化与平台建设科研课题项目，购买病原微生物资源保藏设备；通过该项目的实施，发挥病原微生物资源保藏技术的作用，提升了实验人员病原微生物的生物安全知识储备水平，推动了昌吉州疾控中心实验楼菌毒库的建设，促进了各县市实验室菌毒库种库的规范化管理，为实验室病原微生物生物安全的工作提质增效，使疾控事业能够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购买病原微生物资源保藏设备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完成重要战略微生物资源保藏技术优化与平台建设科研课题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本项目依托于福建省疾控中心病原微生物保藏设施项目，由于福建省专家的帮助，所以完成率提高了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购买病原微生物资源保藏设备及时程度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项目资金已及时到达，及时支付相关费用。</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发挥病原微生物资源保藏技术的作用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对疾控事业的影响力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增添病原微生物仪器设备，为实验做准备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结核病业务经费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州报告肺结核患者及疑似肺结核患者总体到位率达到95%以上；重点人群肺结核筛查率达到95%以上；肺结核患者规范管理率达到90%以上；艾滋病感染者及病人肺结核筛查率达到90%以上，病原学阳性率达到55%以上，高危人群及病原学阳性肺结核患者耐药筛查率达到95%以上；传染期肺结核患者集中隔离治疗+营养早餐覆盖率达到95%以上；公众结核病防治知识知晓率达到85%以上，肺结核患者成功治疗率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全州结核患者规范管理率为96.97%，肺结核患者成功治疗率96.74%，全年完成对基层结核病防治工作技术帮扶4次，开展结核病防治宣传工作3次，进行全州公众结核病防治知识知晓率调查，知晓率为90.4%，全州各项指标均按期完成。项目经费于2024年内完成支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对基层结核病防治工作技术帮扶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结核病防治宣传工作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肺结核患者规范管理率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不跟踪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结核病防治知识知晓率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不跟踪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肺结核患者成功治疗率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不跟踪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昌吉回族自治州卫生健康委员会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区州政府部门要求，完成2024年艾滋病、性病和丙肝的防控工作，指导各县市如期完成2024年度性病、艾滋病和丙肝综合防治工作的各项指标。2024年完成艾滋病扩大检测≥70万人、开展艾滋病病人病毒载量≥850人次、艾滋病病人的治疗有效率≥90%。最终实现政府领导、多部门协作、全社会协同、大众参与的艾滋病防治机制进一步完善；艾滋病防治服务能力不断提升，实行及早发现并规范治疗；医疗保障政策逐步完善，患者负担进一步减轻，艾滋病疫情势头得到明显遏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艾滋病扩大检测104.5万人次、开展艾滋病病人病毒载量检测1168人次，艾滋病病人治疗有效率为96.3%，艾滋病疫情报告及时率为100%，差旅费、其他交通费、专用材料经费支出进度均为100%；通过该项目的实施，提升了我州艾滋病防治能力，患者负担进一步减轻，促进并改善了艾滋病感染者和病人免疫功能，进一步遏制了艾滋病疫情传播风险。</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艾滋病扩大检测（万人次）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=104.5万人次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87万人次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开展艾滋病病人病毒载量（人）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艾滋病病人治疗有效率（%）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年初按照国家要求制定全年指标，实际实施过程中完成较好，产生偏差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艾滋病疫情报告及时率（%）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改善艾滋病感染者和病人免疫功能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90.67分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