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昌吉回族自治州机关事务管理局2024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(一)按规定负责州本级机关通用资产管理工作,制定具体制度和管理办法,承担产权界定、清查登记、资产处置工作。</w:t>
      </w:r>
    </w:p>
    <w:p>
      <w:pPr>
        <w:spacing w:line="580" w:lineRule="exact"/>
        <w:ind w:firstLine="640"/>
        <w:jc w:val="both"/>
      </w:pPr>
      <w:r>
        <w:rPr>
          <w:rFonts w:ascii="仿宋_GB2312" w:hAnsi="仿宋_GB2312" w:eastAsia="仿宋_GB2312"/>
          <w:sz w:val="32"/>
        </w:rPr>
        <w:t>(二)负责州本级机关房产管理工作,制定规章制度并组织实施;按规定负责行政办公用房权属、配置、建设、使用、维修、处置利用管理。负责州本级机关及所属事业单位用地管理工作。指导、监督县(市)机关办公用房管理。</w:t>
      </w:r>
    </w:p>
    <w:p>
      <w:pPr>
        <w:spacing w:line="580" w:lineRule="exact"/>
        <w:ind w:firstLine="640"/>
        <w:jc w:val="both"/>
      </w:pPr>
      <w:r>
        <w:rPr>
          <w:rFonts w:ascii="仿宋_GB2312" w:hAnsi="仿宋_GB2312" w:eastAsia="仿宋_GB2312"/>
          <w:sz w:val="32"/>
        </w:rPr>
        <w:t>(三)统一管理州本级机关公务用车,拟定自治州公务用车管理办法并组织实施;指导监督县(市)机关公务用车管理。</w:t>
      </w:r>
    </w:p>
    <w:p>
      <w:pPr>
        <w:spacing w:line="580" w:lineRule="exact"/>
        <w:ind w:firstLine="640"/>
        <w:jc w:val="both"/>
      </w:pPr>
      <w:r>
        <w:rPr>
          <w:rFonts w:ascii="仿宋_GB2312" w:hAnsi="仿宋_GB2312" w:eastAsia="仿宋_GB2312"/>
          <w:sz w:val="32"/>
        </w:rPr>
        <w:t>(四)承担自治州公共机构节能推进、指导、协调、监督的具体工作;监督管理自治州本级公共机构节能工作;指导州本级有关行政主管部门开展本系统公共机构节能有关工作;会同有关方面开展公共机构节能宣传、教育和培训等工作。指导监督县(市)公共机构节能工作。</w:t>
      </w:r>
    </w:p>
    <w:p>
      <w:pPr>
        <w:spacing w:line="580" w:lineRule="exact"/>
        <w:ind w:firstLine="640"/>
        <w:jc w:val="both"/>
      </w:pPr>
      <w:r>
        <w:rPr>
          <w:rFonts w:ascii="仿宋_GB2312" w:hAnsi="仿宋_GB2312" w:eastAsia="仿宋_GB2312"/>
          <w:sz w:val="32"/>
        </w:rPr>
        <w:t>(五)负责自治州“四套班子”办公楼、州政府综合办公楼、州(市)政务中心和州文化事业发展新区大楼的管理工作。</w:t>
      </w:r>
    </w:p>
    <w:p>
      <w:pPr>
        <w:spacing w:line="580" w:lineRule="exact"/>
        <w:ind w:firstLine="640"/>
        <w:jc w:val="both"/>
      </w:pPr>
      <w:r>
        <w:rPr>
          <w:rFonts w:ascii="仿宋_GB2312" w:hAnsi="仿宋_GB2312" w:eastAsia="仿宋_GB2312"/>
          <w:sz w:val="32"/>
        </w:rPr>
        <w:t>(六)完成自治州党委、自治州人民政府交办的其他任务。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昌吉回族自治州机关事务管理局2024年度，实有人数27人，其中：在职人员22人，增加3人；离休人员0人，增加0人；退休人员5人,增加1人。</w:t>
      </w:r>
    </w:p>
    <w:p>
      <w:pPr>
        <w:spacing w:line="580" w:lineRule="exact"/>
        <w:ind w:firstLine="640"/>
        <w:jc w:val="both"/>
      </w:pPr>
      <w:r>
        <w:rPr>
          <w:rFonts w:ascii="仿宋_GB2312" w:hAnsi="仿宋_GB2312" w:eastAsia="仿宋_GB2312"/>
          <w:sz w:val="32"/>
        </w:rPr>
        <w:t>昌吉回族自治州机关事务管理局无下属预算单位，下设6个科室，分别是：办公室、财务审计科、公车管理科、资产管理科、房产管理科、公共机构节能管理科。</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2024年度收入总计3,057.23万元，</w:t>
      </w:r>
      <w:r>
        <w:rPr>
          <w:rFonts w:ascii="仿宋_GB2312" w:hAnsi="仿宋_GB2312" w:eastAsia="仿宋_GB2312"/>
          <w:b w:val="0"/>
          <w:sz w:val="32"/>
        </w:rPr>
        <w:t>其中：本年收入合计3,004.62万元，使用非财政拨款结余（含专用结余）0.00万元，年初结转和结余52.61万元。</w:t>
      </w:r>
    </w:p>
    <w:p>
      <w:pPr>
        <w:spacing w:line="580" w:lineRule="exact"/>
        <w:ind w:firstLine="640"/>
        <w:jc w:val="both"/>
      </w:pPr>
      <w:r>
        <w:rPr>
          <w:rFonts w:ascii="仿宋_GB2312" w:hAnsi="仿宋_GB2312" w:eastAsia="仿宋_GB2312"/>
          <w:b/>
          <w:sz w:val="32"/>
        </w:rPr>
        <w:t>2024年度支出总计3,057.23万元，</w:t>
      </w:r>
      <w:r>
        <w:rPr>
          <w:rFonts w:ascii="仿宋_GB2312" w:hAnsi="仿宋_GB2312" w:eastAsia="仿宋_GB2312"/>
          <w:b w:val="0"/>
          <w:sz w:val="32"/>
        </w:rPr>
        <w:t>其中：本年支出合计3,005.51万元，结余分配0.00万元，年末结转和结余51.72万元。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减少1,605.86万元，下降34.44%，主要原因是：本年减少厅级干部周转房项目、公共机构节能项目。</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本年收入3,004.62万元，</w:t>
      </w:r>
      <w:r>
        <w:rPr>
          <w:rFonts w:ascii="仿宋_GB2312" w:hAnsi="仿宋_GB2312" w:eastAsia="仿宋_GB2312"/>
          <w:b w:val="0"/>
          <w:sz w:val="32"/>
        </w:rPr>
        <w:t>其中：财政拨款收入3,003.71万元，占99.97%；上级补助收入0.00万元，占0.00%；事业收入0.00万元，占0.00%；经营收入0.00万元，占0.00%；附属单位上缴收入0.00万元，占0.00%；其他收入0.91万元，占0.03%。</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本年支出3,005.51万元，</w:t>
      </w:r>
      <w:r>
        <w:rPr>
          <w:rFonts w:ascii="仿宋_GB2312" w:hAnsi="仿宋_GB2312" w:eastAsia="仿宋_GB2312"/>
          <w:b w:val="0"/>
          <w:sz w:val="32"/>
        </w:rPr>
        <w:t>其中：基本支出499.13万元，占16.61%；项目支出2,506.37万元，占83.39%；上缴上级支出0.00万元，占0.00%；经营支出0.00万元，占0.00%；对附属单位补助支出0.00万元，占0.00%。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2024年度财政拨款收入总计3,003.71万元，</w:t>
      </w:r>
      <w:r>
        <w:rPr>
          <w:rFonts w:ascii="仿宋_GB2312" w:hAnsi="仿宋_GB2312" w:eastAsia="仿宋_GB2312"/>
          <w:b w:val="0"/>
          <w:sz w:val="32"/>
        </w:rPr>
        <w:t>其中：年初财政拨款结转和结余0.00万元，本年财政拨款收入3,003.71万元。</w:t>
      </w:r>
      <w:r>
        <w:rPr>
          <w:rFonts w:ascii="仿宋_GB2312" w:hAnsi="仿宋_GB2312" w:eastAsia="仿宋_GB2312"/>
          <w:b/>
          <w:sz w:val="32"/>
        </w:rPr>
        <w:t>财政拨款支出总计3,003.71万元，</w:t>
      </w:r>
      <w:r>
        <w:rPr>
          <w:rFonts w:ascii="仿宋_GB2312" w:hAnsi="仿宋_GB2312" w:eastAsia="仿宋_GB2312"/>
          <w:b w:val="0"/>
          <w:sz w:val="32"/>
        </w:rPr>
        <w:t>其中：年末财政拨款结转和结余0.00万元，本年财政拨款支出3,003.71万元。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减少1,619.92万元，下降35.04%，主要原因是：本年减少厅级干部周转房项目、公共机构节能项目。</w:t>
      </w:r>
      <w:r>
        <w:rPr>
          <w:rFonts w:ascii="仿宋_GB2312" w:hAnsi="仿宋_GB2312" w:eastAsia="仿宋_GB2312"/>
          <w:b/>
          <w:sz w:val="32"/>
        </w:rPr>
        <w:t>与年初预算相比，</w:t>
      </w:r>
      <w:r>
        <w:rPr>
          <w:rFonts w:ascii="仿宋_GB2312" w:hAnsi="仿宋_GB2312" w:eastAsia="仿宋_GB2312"/>
          <w:b w:val="0"/>
          <w:sz w:val="32"/>
        </w:rPr>
        <w:t>年初预算数2,155.66万元，决算数3,003.71万元，预决算差异率39.34%，主要原因是：年中追加人员工资、社保、公积金基数调增部分资金及文化宣传项目、昌吉州成立70周年庆祝活动项目、考斯特面包车购置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2024年度一般公共预算财政拨款支出3,003.71万元，</w:t>
      </w:r>
      <w:r>
        <w:rPr>
          <w:rFonts w:ascii="仿宋_GB2312" w:hAnsi="仿宋_GB2312" w:eastAsia="仿宋_GB2312"/>
          <w:b w:val="0"/>
          <w:sz w:val="32"/>
        </w:rPr>
        <w:t>占本年支出合计的99.94%。</w:t>
      </w:r>
      <w:r>
        <w:rPr>
          <w:rFonts w:ascii="仿宋_GB2312" w:hAnsi="仿宋_GB2312" w:eastAsia="仿宋_GB2312"/>
          <w:b/>
          <w:sz w:val="32"/>
        </w:rPr>
        <w:t>与上年相比，</w:t>
      </w:r>
      <w:r>
        <w:rPr>
          <w:rFonts w:ascii="仿宋_GB2312" w:hAnsi="仿宋_GB2312" w:eastAsia="仿宋_GB2312"/>
          <w:b w:val="0"/>
          <w:sz w:val="32"/>
        </w:rPr>
        <w:t>减少1,619.92万元，下降35.04%，主要原因是：本年减少厅级干部周转房项目、公共机构节能项目。</w:t>
      </w:r>
      <w:r>
        <w:rPr>
          <w:rFonts w:ascii="仿宋_GB2312" w:hAnsi="仿宋_GB2312" w:eastAsia="仿宋_GB2312"/>
          <w:b/>
          <w:sz w:val="32"/>
        </w:rPr>
        <w:t>与年初预算相比,</w:t>
      </w:r>
      <w:r>
        <w:rPr>
          <w:rFonts w:ascii="仿宋_GB2312" w:hAnsi="仿宋_GB2312" w:eastAsia="仿宋_GB2312"/>
          <w:b w:val="0"/>
          <w:sz w:val="32"/>
        </w:rPr>
        <w:t>年初预算数2,155.66万元，决算数3,003.71万元，预决算差异率39.34%，主要原因是：年中追加人员工资、社保、公积金基数调增部分资金及文化宣传项目、昌吉州成立70周年庆祝活动项目、考斯特面包车购置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1.一般公共服务支出(类)2,864.91万元,占95.38%。</w:t>
      </w:r>
    </w:p>
    <w:p>
      <w:pPr>
        <w:spacing w:line="580" w:lineRule="exact"/>
        <w:ind w:firstLine="640"/>
        <w:jc w:val="both"/>
      </w:pPr>
      <w:r>
        <w:rPr>
          <w:rFonts w:ascii="仿宋_GB2312" w:hAnsi="仿宋_GB2312" w:eastAsia="仿宋_GB2312"/>
          <w:b w:val="0"/>
          <w:sz w:val="32"/>
        </w:rPr>
        <w:t>2.社会保障和就业支出(类)78.40万元,占2.61%。</w:t>
      </w:r>
    </w:p>
    <w:p>
      <w:pPr>
        <w:spacing w:line="580" w:lineRule="exact"/>
        <w:ind w:firstLine="640"/>
        <w:jc w:val="both"/>
      </w:pPr>
      <w:r>
        <w:rPr>
          <w:rFonts w:ascii="仿宋_GB2312" w:hAnsi="仿宋_GB2312" w:eastAsia="仿宋_GB2312"/>
          <w:b w:val="0"/>
          <w:sz w:val="32"/>
        </w:rPr>
        <w:t>3.卫生健康支出(类)21.94万元,占0.73%。</w:t>
      </w:r>
    </w:p>
    <w:p>
      <w:pPr>
        <w:spacing w:line="580" w:lineRule="exact"/>
        <w:ind w:firstLine="640"/>
        <w:jc w:val="both"/>
      </w:pPr>
      <w:r>
        <w:rPr>
          <w:rFonts w:ascii="仿宋_GB2312" w:hAnsi="仿宋_GB2312" w:eastAsia="仿宋_GB2312"/>
          <w:b w:val="0"/>
          <w:sz w:val="32"/>
        </w:rPr>
        <w:t>4.住房保障支出(类)32.90万元,占1.10%。</w:t>
      </w:r>
    </w:p>
    <w:p>
      <w:pPr>
        <w:spacing w:line="580" w:lineRule="exact"/>
        <w:ind w:firstLine="640"/>
        <w:jc w:val="both"/>
      </w:pPr>
      <w:r>
        <w:rPr>
          <w:rFonts w:ascii="仿宋_GB2312" w:hAnsi="仿宋_GB2312" w:eastAsia="仿宋_GB2312"/>
          <w:b w:val="0"/>
          <w:sz w:val="32"/>
        </w:rPr>
        <w:t>5.其他支出(类)5.56万元,占0.19%。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一般公共服务支出(类)政府办公厅（室）及相关机构事务(款)行政运行(项):支出决算数为333.78万元，比上年决算减少6.17万元，下降1.81%,主要原因是：本年在职人员调入，退休，人员职级不同，工资基数不同，导致人员经费较上年减少。</w:t>
      </w:r>
    </w:p>
    <w:p>
      <w:pPr>
        <w:spacing w:line="580" w:lineRule="exact"/>
        <w:ind w:firstLine="640"/>
        <w:jc w:val="both"/>
      </w:pPr>
      <w:r>
        <w:rPr>
          <w:rFonts w:ascii="仿宋_GB2312" w:hAnsi="仿宋_GB2312" w:eastAsia="仿宋_GB2312"/>
          <w:b w:val="0"/>
          <w:sz w:val="32"/>
        </w:rPr>
        <w:t>2.一般公共服务支出(类)政府办公厅（室）及相关机构事务(款)一般行政管理事务(项):支出决算数为2,499.02万元，比上年决算减少1,658.90万元，下降39.90%,主要原因是：本年减少厅级干部周转房项目、公共机构节能项目。</w:t>
      </w:r>
    </w:p>
    <w:p>
      <w:pPr>
        <w:spacing w:line="580" w:lineRule="exact"/>
        <w:ind w:firstLine="640"/>
        <w:jc w:val="both"/>
      </w:pPr>
      <w:r>
        <w:rPr>
          <w:rFonts w:ascii="仿宋_GB2312" w:hAnsi="仿宋_GB2312" w:eastAsia="仿宋_GB2312"/>
          <w:b w:val="0"/>
          <w:sz w:val="32"/>
        </w:rPr>
        <w:t>3.一般公共服务支出(类)政府办公厅（室）及相关机构事务(款)事业运行(项):支出决算数为32.12万元，比上年决算增加32.12万元，增长100.00%,主要原因是：本年新增事业在职人员，人员经费增加，导致经费较上年有所增加。</w:t>
      </w:r>
    </w:p>
    <w:p>
      <w:pPr>
        <w:spacing w:line="580" w:lineRule="exact"/>
        <w:ind w:firstLine="640"/>
        <w:jc w:val="both"/>
      </w:pPr>
      <w:r>
        <w:rPr>
          <w:rFonts w:ascii="仿宋_GB2312" w:hAnsi="仿宋_GB2312" w:eastAsia="仿宋_GB2312"/>
          <w:b w:val="0"/>
          <w:sz w:val="32"/>
        </w:rPr>
        <w:t>4.社会保障和就业支出(类)行政事业单位养老支出(款)行政单位离退休(项):支出决算数为2.35万元，比上年决算增加0.96万元，增长69.06%,主要原因是：本年退休人员增加，退休费支出增加。</w:t>
      </w:r>
    </w:p>
    <w:p>
      <w:pPr>
        <w:spacing w:line="580" w:lineRule="exact"/>
        <w:ind w:firstLine="640"/>
        <w:jc w:val="both"/>
      </w:pPr>
      <w:r>
        <w:rPr>
          <w:rFonts w:ascii="仿宋_GB2312" w:hAnsi="仿宋_GB2312" w:eastAsia="仿宋_GB2312"/>
          <w:b w:val="0"/>
          <w:sz w:val="32"/>
        </w:rPr>
        <w:t>5.社会保障和就业支出(类)行政事业单位养老支出(款)机关事业单位基本养老保险缴费支出(项):支出决算数为41.04万元，比上年决算增加4.82万元，增长13.31%,主要原因是：本年在职人员增加，工资基数调增，养老缴费基数上涨，相应支出增加。</w:t>
      </w:r>
    </w:p>
    <w:p>
      <w:pPr>
        <w:spacing w:line="580" w:lineRule="exact"/>
        <w:ind w:firstLine="640"/>
        <w:jc w:val="both"/>
      </w:pPr>
      <w:r>
        <w:rPr>
          <w:rFonts w:ascii="仿宋_GB2312" w:hAnsi="仿宋_GB2312" w:eastAsia="仿宋_GB2312"/>
          <w:b w:val="0"/>
          <w:sz w:val="32"/>
        </w:rPr>
        <w:t>6.社会保障和就业支出(类)行政事业单位养老支出(款)机关事业单位职业年金缴费支出(项):支出决算数为34.94万元，比上年决算增加10.35万元，增长42.09%,主要原因是：本年新增退休人员，职业年金缴费支出增加。</w:t>
      </w:r>
    </w:p>
    <w:p>
      <w:pPr>
        <w:spacing w:line="580" w:lineRule="exact"/>
        <w:ind w:firstLine="640"/>
        <w:jc w:val="both"/>
      </w:pPr>
      <w:r>
        <w:rPr>
          <w:rFonts w:ascii="仿宋_GB2312" w:hAnsi="仿宋_GB2312" w:eastAsia="仿宋_GB2312"/>
          <w:b w:val="0"/>
          <w:sz w:val="32"/>
        </w:rPr>
        <w:t>7.社会保障和就业支出(类)其他社会保障和就业支出(款)其他社会保障和就业支出(项):支出决算数为0.07万元，比上年决算增加0.07万元，增长100.00%,主要原因是：本年在职人员增加，失业险和工伤险等缴费较上年增加。</w:t>
      </w:r>
    </w:p>
    <w:p>
      <w:pPr>
        <w:spacing w:line="580" w:lineRule="exact"/>
        <w:ind w:firstLine="640"/>
        <w:jc w:val="both"/>
      </w:pPr>
      <w:r>
        <w:rPr>
          <w:rFonts w:ascii="仿宋_GB2312" w:hAnsi="仿宋_GB2312" w:eastAsia="仿宋_GB2312"/>
          <w:b w:val="0"/>
          <w:sz w:val="32"/>
        </w:rPr>
        <w:t>8.卫生健康支出(类)行政事业单位医疗(款)行政单位医疗(项):支出决算数为19.75万元，比上年决算增加1.37万元，增长7.45%,主要原因是：本年在职人员工资基数调增，医疗缴费基数上涨，相应支出增加。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9.卫生健康支出(类)行政事业单位医疗(款)事业单位医疗(项):支出决算数为0.77万元，比上年决算增加0.77万元，增长100.00%,主要原因是：本年在职人员增加，事业单位医疗支出较上年增加。</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10.卫生健康支出(类)行政事业单位医疗(款)公务员医疗补助(项):支出决算数为1.28万元，比上年决算增加0.26万元，增长25.49%,主要原因是：本年在职人员增加，公务员医疗补助支出较上年增加。</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11.卫生健康支出(类)行政事业单位医疗(款)其他行政事业单位医疗支出(项):支出决算数为0.14万元，比上年决算增加0.02万元，增长16.67%,主要原因是：本年在职人员增加，其他行政事业单位医疗支出较上年增加。</w:t>
      </w:r>
    </w:p>
    <w:p>
      <w:pPr>
        <w:spacing w:line="580" w:lineRule="exact"/>
        <w:ind w:firstLine="640"/>
        <w:jc w:val="both"/>
      </w:pPr>
      <w:r>
        <w:rPr>
          <w:rFonts w:ascii="仿宋_GB2312" w:hAnsi="仿宋_GB2312" w:eastAsia="仿宋_GB2312"/>
          <w:b w:val="0"/>
          <w:sz w:val="32"/>
        </w:rPr>
        <w:t>12.住房保障支出(类)住房改革支出(款)住房公积金(项):支出决算数为32.90万元，比上年决算增加4.49万元，增长15.80%,主要原因是：本年在职人员增加，住房公积金支出较上年增加。</w:t>
      </w:r>
    </w:p>
    <w:p>
      <w:pPr>
        <w:spacing w:line="580" w:lineRule="exact"/>
        <w:ind w:firstLine="640"/>
        <w:jc w:val="both"/>
      </w:pPr>
      <w:r>
        <w:rPr>
          <w:rFonts w:ascii="仿宋_GB2312" w:hAnsi="仿宋_GB2312" w:eastAsia="仿宋_GB2312"/>
          <w:b w:val="0"/>
          <w:sz w:val="32"/>
        </w:rPr>
        <w:t>13.其他支出(类)其他支出(款)其他支出(项):支出决算数为5.56万元，比上年决算减少10.07万元，下降64.43%,主要原因是：本年为民办实事工作经费减少，相应工作经费支出减少。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2024年度一般公共预算财政拨款基本支出499.13万元，其中：</w:t>
      </w:r>
      <w:r>
        <w:rPr>
          <w:rFonts w:ascii="仿宋_GB2312" w:hAnsi="仿宋_GB2312" w:eastAsia="仿宋_GB2312"/>
          <w:b/>
          <w:sz w:val="32"/>
        </w:rPr>
        <w:t>人员经费431.36万元，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其他工资福利支出、退休费、生活补助、奖励金。</w:t>
      </w:r>
    </w:p>
    <w:p>
      <w:pPr>
        <w:spacing w:line="580" w:lineRule="exact"/>
        <w:ind w:firstLine="640"/>
        <w:jc w:val="both"/>
      </w:pPr>
      <w:r>
        <w:rPr>
          <w:rFonts w:ascii="仿宋_GB2312" w:hAnsi="仿宋_GB2312" w:eastAsia="仿宋_GB2312"/>
          <w:b/>
          <w:sz w:val="32"/>
        </w:rPr>
        <w:t>公用经费67.77万元，</w:t>
      </w:r>
      <w:r>
        <w:rPr>
          <w:rFonts w:ascii="仿宋_GB2312" w:hAnsi="仿宋_GB2312" w:eastAsia="仿宋_GB2312"/>
          <w:b w:val="0"/>
          <w:sz w:val="32"/>
        </w:rPr>
        <w:t>包括：办公费、印刷费、咨询费、手续费、邮电费、取暖费、差旅费、租赁费、公务接待费、委托业务费、工会经费、福利费、公务用车运行维护费、其他交通费用、其他商品和服务支出。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2024年度财政拨款“三公”经费支出118.63万元，</w:t>
      </w:r>
      <w:r>
        <w:rPr>
          <w:rFonts w:ascii="仿宋_GB2312" w:hAnsi="仿宋_GB2312" w:eastAsia="仿宋_GB2312"/>
          <w:b w:val="0"/>
          <w:sz w:val="32"/>
        </w:rPr>
        <w:t>比上年增加36.92万元，增长45.18%，主要原因是：1.本年新购入公务用车，公务用车购置费较上年增加。2.本年度我单位新增公务用车保障服务中心，统一集中管理35辆闲置或超标公务用车，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118.44万元，占99.84%，比上年增加36.92万元，增长45.29%，主要原因是：1.本年新购入公务用车，公务用车购置费较上年增加。2.本年度我单位新增公务用车保障服务中心，统一集中管理35辆闲置或超标公务用车，导致公务用车运行维护费较上年增加。</w:t>
      </w:r>
      <w:r>
        <w:rPr>
          <w:rFonts w:ascii="仿宋_GB2312" w:hAnsi="仿宋_GB2312" w:eastAsia="仿宋_GB2312"/>
          <w:b w:val="0"/>
          <w:sz w:val="32"/>
        </w:rPr>
        <w:t>公务接待费支出0.19万元，占0.16%，比上年增加0.00万元，增长0.00%，主要原因是：我单位公务接待费与上年一致无变化。</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118.44万元，其中：公务用车购置费49.94万元，公务用车运行维护费68.50万元。公务用车运行维护费开支内容包括车辆加油费、维修费、保险费、审车费、过路费等。公务用车购置数1辆，公务用车保有量27辆。国有资产占用情况中固定资产车辆27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公务接待费0.19万元，开支内容包括因工作安排，接待上级领导检查产生的就餐费。单位全年安排的国内公务接待4批次，38人次。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118.63万元，决算数118.63万元，预决算差异率0.00%，主要原因是：严格按照预算执行，预决算无差异。其中：因公出国（境）费全年预算数0.00万元，决算数0.00万元，预决算差异率0.00%，主要原因是：本单位无因公出国（境）费。公务用车购置费全年预算数49.94万元，决算数49.94万元，预决算差异率0.00%，主要原因是：严格按照预算执行，预决算无差异。公务用车运行维护费全年预算数68.50万元，决算数68.50万元，预决算差异率0.00%，主要原因是：严格按照预算执行，预决算无差异。公务接待费全年预算数0.19万元，决算数0.19万元，预决算差异率0.00%，主要原因是：严格按照预算执行，预决算无差异。</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2024年度昌吉回族自治州机关事务管理局（行政单位和参照公务员法管理事业单位）机关运行经费支出67.77万元，比上年增加5.89万元，增长9.52%，主要原因是：本年在职人员增加，办公费用增加。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2024年度政府采购支出总额78.89万元，其中：政府采购货物支出14.03万元、政府采购工程支出0.00万元、政府采购服务支出64.86万元。</w:t>
      </w:r>
    </w:p>
    <w:p>
      <w:pPr>
        <w:spacing w:line="580" w:lineRule="exact"/>
        <w:ind w:firstLine="640"/>
        <w:jc w:val="both"/>
      </w:pPr>
      <w:r>
        <w:rPr>
          <w:rFonts w:ascii="仿宋_GB2312" w:hAnsi="仿宋_GB2312" w:eastAsia="仿宋_GB2312"/>
          <w:b w:val="0"/>
          <w:sz w:val="32"/>
        </w:rPr>
        <w:t>授予中小企业合同金额78.89万元，占政府采购支出总额的100.00%，其中：授予小微企业合同金额78.89万元，占政府采购支出总额的100.00%。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3,103.06平方米，价值650.63万元。车辆27辆，价值1,178.50万元，其中：副部（省）级及以上领导用车0辆、主要负责人用车0辆、机要通信用车0辆、应急保障用车0辆、执法执勤用车0辆、特种专业技术用车0辆、离退休干部服务用车0辆、其他用车27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3,057.23万元，实际执行总额3,005.51万元；预算绩效评价项目7个，全年预算数2,059.28万元，全年执行数2,059.28万元。预算绩效管理取得的成效：一是资金使用效益高，保障了各项工作的正常运转,资金支付正常；资金使用无虚列支出及随意使用现象,无大额现金支付现象；二是资金使用社会效益好，项目资金按时足额到位，各项工作进度推进有序，保质保量完成工作任务。发现的问题及原因：一是绩效目标设定不科学，因对工作计划不精准，绩效目标缺乏细化、量化、与实际工作任务不匹配。二是工作机制有待进一步完善，在平时工作中需要加强绩效监控工作的重视，绩效监控工作容易滞后，未形成对绩效目标进行监控的习惯。下一步改进措施：一是在今后的工作一方面要严格预算编制，做到细化精确，争取一些费用纳入财政预算中；二是要严格落实专项经费使用管理规定，做到专款专用；三是在平时工作中进一步加强对绩效目标监控的重视，定期对预算执行情况进行监督，使绩效目标监控与政府工作、财务工作挂钩，做到及时监控，及时控制，避免疏忽。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2,135.66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3,003.71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53.52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2,155.66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3,057.23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3,005.51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坚持以习近平新时代中国特色社会主义思想为引领，深入学习宣传贯彻落实党的二十大精神，贯彻落实习近平总书记对机关事务工作指示精神，贯彻落实《新疆维吾尔自治区机关事务管理办法》，贯彻落实自治州党委决策部署，持续巩固深化“一体三化”现代机关事务管理体制，着力推进昌吉州机关事务高质量发展，为建设推进中国式现代化新疆实践的典范地州做出贡献。根据《州党委财经委员会2021年第四次会议纪要》（昌州党财〔2021〕4号）文件精神，落实“管事分离”和“管理与经营分开”的改革要求，充分发挥国有企业经营优势、市场优势、资源优势，最大限度盘活闲置办公用房，实现国有资产保值增值，将州直党政机关闲置办公用房（经营性）144处委托州国投集团管理，最大限度发挥管理水平和能力；按照《新疆维吾尔自治区公共机构节能“十四五”规划》《新疆维吾尔自治区“十四五”时期节约能源资源消费工作评价标准》《昌吉州公共机构机构节能“十四五”规划》开展重点用能单位能源审计;开展公共机构生活垃圾强制分类工作推进;开展能耗定额标准执行推进;开展制止餐饮浪费专项行动;推进绿色食堂建设、能耗监测平台建设、合同能源管理、电采暖等节能项目;开展绿色出行活动，推广新能源汽车，推进充电基础设施建设。提高了节能意识，营造了良好的节能减排氛围。根据《党政机关用房管理办法》负责行政办公用房权属、配置、建设、使用、维修、处置利用管理。以及州本级机关及所属事业单位用地管理工作。完成自治州“四套班子”办公楼、州政府综合办公楼、州(市)政务中心和州文化事业发展新区大楼的管理工作。进一步规范了党政机关办公用房管理，保障正常办公，降低行政成本，促进党风廉政建设和节约型机关建设。进一步贯彻落实州党委关于“厉行节约、反对浪费”、过“紧日子”要求，对闲置资产进行集中统一管理，盘活资源，优化配置，集约节约降低运行成本，提升保障效能提高资产使用效益，发挥公物仓资产共享平台作用，进一步完善基础设施，开展信息化管理，加强设备常态化维护维修，对涉密设备进行脱密技术处理。落实加快转变传统后勤的思维定式和思想认识，依法落实机关事务部门管资产、管经费、管节能、管服务的集中统一管理体制和与之相适应的机构职能体系。切实解决合规专业、效率公平，权责匹配、有效履职等现实问题，真正做到事权统一、权责明晰、运行顺畅、保障有力。</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我单位实际完成党政机关办公用房进行零星维修11处，委托管理闲置办公用房总面积15529.04平方米，入仓维修维护资产3次，委托第三方对公共机构开展节能监察15家，统管公务用车维修和保养次数35次，公务车辆维修合格率100%，闲置办公用房委托管理费支付及时率100%，落实加快转变传统后勤的思维定式和思想认识，依法落实机关事务部门管资产、管经费、管节能、管服务的集中统一管理体制和与之相适应的机构职能体系。切实解决合规专业、效率公平，权责匹配、有效履职等现实问题，真正做到事权统一、权责明晰、运行顺畅、保障有力。</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党政机关办公用房进行零星维修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11处</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委托管理闲置办公用房总面积</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&gt;=15000平方米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15529.04平方米</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入仓维修维护资产数量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委托第三方对公共机构开展节能监察</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统管公务用车维修和保养次数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35次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公务车辆维修合格率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闲置办公用房委托管理费支付及时率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关于开展州本级临时机构、迎接督察检查等阶段性工作购置固定自查清查工作的通知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保障州庆活动项目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110.28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2024年该项目项目计划开展1次周庆活动。州庆活动接待人数达到500人以上。保障100位中央民族歌舞团表演人员。保障活动完成率达到100%。项目预计2024年9月30日前完成。通过该项目的实施，进一步激发全州各族群众爱党爱国的热情。</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我单位配合完成历时3天的，州庆活动接待人数达到500人的70年大庆活动的公务接待工作1次，同时保障了100位中央民族歌舞团表演人员的车辆保障，保障活动完成率达到100%，70周年庆祝活动经费成本控制率达到100%，州庆经费支付额度110.28万元，州庆通过该项目的实施，进一步激发全州各族群众爱党爱国的热情，达到活动参与人员满意度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州庆活动接待人数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保障中央民族歌舞团表演人数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保障活动完成率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州庆活动人员接待天数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=3天</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70周年庆祝活动经费成本控制率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州庆经费支付额度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&lt;=110.28万元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110.28万元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进一步激发全州各族群众爱党爱国的热情</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活动参与人员满意度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党政机关办公用房管理项目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197.00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对周转房及未委托管理的闲置办公用房进行维修、对未测绘的办公用房进行测绘及未权属登记的开展权属登记相关工作，缴纳部分闲置办公用房物业管理费，以及建立健全办公用房信息平台建设，并委托国投公司对闲置办公用房进行统一经营管理，达到规范管理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该项目完成委托管理闲置办公用房出租数达到149家，有效提高国有资产保值增值，进一步提升优化营商环境。完成办公用房权属登记2处；委托州国投管理的经营性门面房维修11处，委托管理维修合格率达到100%，按时完成各项维修项目，通过维修改善延长资产使用寿命，减少因设施老化导致的安全隐患，为承租户提升了经营舒适度，非税收入按时上缴国库，上缴及时率100%，委托管理费成本197万元，委托管理费支付及时率达到100%，有效提升资产市场价值，促进国投集团对委托房产管理的管理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委托管理闲置办公用房出租数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&gt;=149家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=149家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办公用房产权登记次数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委托管理维修合格率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超出指标设置预期，超额完成。</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非税收入上缴及时率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委托管理费支付及时率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委托管理费成本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支出成本控制率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促进国投集团对委托房产管理的管理水平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公共机构节能项目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35.00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主要用于开展昌吉州公共机构节约型机关、节约型公共机构示范单位、节水型单位创建；开展公共机构能源资源消费统计；开展公共机构生活垃圾分类工作推进；开展能耗定额标准执行推进；开展制止餐饮浪费专项行动；推进绿色食堂建设、能耗监测平台建设、合同能源管理、电采暖等节能项目；开展绿色出行活动，推广新能源汽车，推进充电基础设施建设。开展年度公共机构节能宣传周活动等</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我单位开展公共机构节能项目完成委托第三方开展节能监察工作15家，并编制节能监察报告和能源审计报告，完成碳达峰碳中工作的全过程咨询服务1次，完成节能宣传周活动1次，节能宣传、培训按期完成，完成率100%，预算成本控制率100%，以上活动的开展有效降低了公共机构碳排放，促进了节约型机关的创建。</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委托第三方开展节能监察工作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编制节能监察报告和能源审计报告</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=15家</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碳达峰碳中和全过程咨询服务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节能宣传周活动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宣传、培训按期完成率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有效降低公共机构碳排放</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有效降低</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公物仓维护管理项目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入仓资产维修维护、涉密设备脱密技术处理及恢复功能、公物仓基础设施完善修缮及信息化建设等。主要用于推进自治州州直单位公物仓工作，有效促进公物仓可持续利用水平。</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该项目完成入仓资产维修维护3次，完成信息化管理化建设工作1次，入仓资产维护验收合格率达到100%，资产维护管理工作完成率达到100%，入仓资产维修维护成本及信息化管理成本10万元，按期支付完毕，主要用于推进自治州州直单位公物仓工作，有效促进公物仓可持续利用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入仓资产维修维护</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信息化管理项目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=1个</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入仓资产维护验收合格率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资产维护管理工作完成率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入仓资产维修维护成本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信息化管理成本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有效促进公物仓可持续利用水平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厅级干部周转房购置费用</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1,662.24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1,591.26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1,591.26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1,662.24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1,591.26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1,591.26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单位职能：负责厅局级干部周转住房和筹集、调配、管理、维护和信息报送工作。立项依据：州党委财经委员会2023年第四次纪要和昌吉州人民2023年第6次重大财政事项专题会议纪要。目标：目前州本级现有厅级干部周转住房数量不足、过于分散、房屋老旧已经不能满足正常需要。根据《自治区机关事务管理局&lt;关于印发新疆维吾尔自治区厅局级干部周转住房管理办法&gt;的通知》新管发【2023】58号，并报自治区机关事务管理局同意，通过购置方式解决州本级厅级干部周转住房保障问题。州机关事务管理局依法依规推进州本级厅级干部周转住房购置工作，同时牢固树立过紧日子思想，坚持厉行节约经济适用的原则，统筹做好外部环境，内部装修等工作，严禁铺张浪费。</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该项目依据《新疆维吾尔自治区厅级干部周转住房管理办法》，经前期调研，征求区局、州党委、政府等多部门意见，成立工作专班，聚焦资源和需求实际，按时完成36套干部周转住房购置、装修及设施配置保障工作。装修工程按时完工率100%，装修工程质量合格率100%，房屋正常投入使用。资金控制率达100%，按照合同约定，第四期装修款待质保期满2年后，支付剩余3%的资金。通过改善生活环境，有效解决了昌吉州厅级干部周转住房保障能力，进一步激发干部干事创业的积极性。</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装修工程计划完成率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完成周转住房装修套数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=36套</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装修工程质量合格率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装修工程按时完工率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预算资金控制率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周转住房装修金额</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&lt;=1591.26万元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=1591.26万元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厅级干部周转住房保障水平提高率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工作任务完成较好，超出预期，超额完成目标任务。</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99.75分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机关运行补助项目【单位自有资金】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1.80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机关运行补助项目按照《机关事务管理条例》《新疆维吾尔自治区机关事务管理“十四五”规划》等文件要求包括资产管理、服务管理等职能内容，“编制本单位的“十四五”规划”为推进全州机关事务管理工作，保障单位正常运转，提高单位结算效率，为单位业务开展提供有效支持。</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我单位机关运行补助项目按照《机关事务管理条例》《新疆维吾尔自治区机关事务管理“十四五”规划》等文件要求包括资产管理、服务管理等职能内容，编制了本单位的“十四五”规划，完成机关事务宣传服务1次，进行了采购委托业务服务1次，政府采购率完成100%，2024年12月10日前完成编制规划，支付1.8万元委托业务费，该项目的实施，有效提高的单位服务质量，委托单位的满意率达到100%。</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机关事务宣传服务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采购委托业务服务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规划编制完成时效</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委托业务服务成本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&lt;=1.80万元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单位服务质量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委托单位的满意率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集中统一管理车辆运行项目</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昌吉回族自治州机关事务管理局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114.50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113.94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主要用于解决收回1辆车的日常运行费用、保险费用、维修保养费用、公务用车宣传及保障服务公务用车的购置工作。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截止12月31日，按期公务用车购置1辆，按期完成公务用车培训宣传1次，完成全州公务用车统计报告1次，用于解决收回辆车的日常运行费用、保险费用、维修保养工作</w:t>
              <w:tab/>
              <w:t>车辆维修合格率100%，有效的提高公务用车管理水平。</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公务用车购置数量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公务用车培训宣传完成数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全州公务用车统计报告工作完成数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车辆维修合格率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行业标准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车辆购置完成时间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=2024年10月1日前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预算成本控制率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车辆运行管理费用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=113.94万元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有效提高公务用车管理水平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