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昌吉回族自治州机关后勤服务中心2024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1、负责州级机关“四套班子”办公楼以及州本级所辖综合办公楼公共部分水、电、暖的正常供应，以及消防、电梯、空调、监控等设施、设备的维修、维护工作。</w:t>
      </w:r>
    </w:p>
    <w:p>
      <w:pPr>
        <w:spacing w:line="580" w:lineRule="exact"/>
        <w:ind w:firstLine="640"/>
        <w:jc w:val="both"/>
      </w:pPr>
      <w:r>
        <w:rPr>
          <w:rFonts w:ascii="仿宋_GB2312" w:hAnsi="仿宋_GB2312" w:eastAsia="仿宋_GB2312"/>
          <w:sz w:val="32"/>
        </w:rPr>
        <w:t>2、负责所辖办公大楼公共区域的安保、室内外保洁、环境绿化、美化和亮化等工作。</w:t>
      </w:r>
    </w:p>
    <w:p>
      <w:pPr>
        <w:spacing w:line="580" w:lineRule="exact"/>
        <w:ind w:firstLine="640"/>
        <w:jc w:val="both"/>
      </w:pPr>
      <w:r>
        <w:rPr>
          <w:rFonts w:ascii="仿宋_GB2312" w:hAnsi="仿宋_GB2312" w:eastAsia="仿宋_GB2312"/>
          <w:sz w:val="32"/>
        </w:rPr>
        <w:t>3、负责各办公场所区域内节能管理工作。</w:t>
      </w:r>
    </w:p>
    <w:p>
      <w:pPr>
        <w:spacing w:line="580" w:lineRule="exact"/>
        <w:ind w:firstLine="640"/>
        <w:jc w:val="both"/>
      </w:pPr>
      <w:r>
        <w:rPr>
          <w:rFonts w:ascii="仿宋_GB2312" w:hAnsi="仿宋_GB2312" w:eastAsia="仿宋_GB2312"/>
          <w:sz w:val="32"/>
        </w:rPr>
        <w:t>4、负责为机关(厅级)干部提供食宿服务。</w:t>
      </w:r>
    </w:p>
    <w:p>
      <w:pPr>
        <w:spacing w:line="580" w:lineRule="exact"/>
        <w:ind w:firstLine="640"/>
        <w:jc w:val="both"/>
      </w:pPr>
      <w:r>
        <w:rPr>
          <w:rFonts w:ascii="仿宋_GB2312" w:hAnsi="仿宋_GB2312" w:eastAsia="仿宋_GB2312"/>
          <w:sz w:val="32"/>
        </w:rPr>
        <w:t>5、负责会议场所的日常管理、会务服务工作。</w:t>
      </w:r>
    </w:p>
    <w:p>
      <w:pPr>
        <w:spacing w:line="580" w:lineRule="exact"/>
        <w:ind w:firstLine="640"/>
        <w:jc w:val="both"/>
      </w:pPr>
      <w:r>
        <w:rPr>
          <w:rFonts w:ascii="仿宋_GB2312" w:hAnsi="仿宋_GB2312" w:eastAsia="仿宋_GB2312"/>
          <w:sz w:val="32"/>
        </w:rPr>
        <w:t>6、负责州（厅级)交流干部宿舍及州人才公寓的日常管理和后勤服务保障工作。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昌吉回族自治州机关后勤服务中心2024年度，实有人数46人，其中：在职人员14人，减少1人；离休人员0人，增加0人；退休人员32人,增加1人。</w:t>
      </w:r>
    </w:p>
    <w:p>
      <w:pPr>
        <w:spacing w:line="580" w:lineRule="exact"/>
        <w:ind w:firstLine="640"/>
        <w:jc w:val="both"/>
      </w:pPr>
      <w:r>
        <w:rPr>
          <w:rFonts w:ascii="仿宋_GB2312" w:hAnsi="仿宋_GB2312" w:eastAsia="仿宋_GB2312"/>
          <w:sz w:val="32"/>
        </w:rPr>
        <w:t>昌吉回族自治州机关后勤服务中心无下属预算单位，下设5个科室，分别是：综合科室、党政综合办公区后勤管理科室、政务中心后勤管理科室、文化事业发展新区后勤管理科室、生活管理科室。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2024年度收入总计6,885.14万元，</w:t>
      </w:r>
      <w:r>
        <w:rPr>
          <w:rFonts w:ascii="仿宋_GB2312" w:hAnsi="仿宋_GB2312" w:eastAsia="仿宋_GB2312"/>
          <w:b w:val="0"/>
          <w:sz w:val="32"/>
        </w:rPr>
        <w:t>其中：本年收入合计6,874.12万元，使用非财政拨款结余（含专用结余）0.00万元，年初结转和结余11.02万元。</w:t>
      </w:r>
    </w:p>
    <w:p>
      <w:pPr>
        <w:spacing w:line="580" w:lineRule="exact"/>
        <w:ind w:firstLine="640"/>
        <w:jc w:val="both"/>
      </w:pPr>
      <w:r>
        <w:rPr>
          <w:rFonts w:ascii="仿宋_GB2312" w:hAnsi="仿宋_GB2312" w:eastAsia="仿宋_GB2312"/>
          <w:b/>
          <w:sz w:val="32"/>
        </w:rPr>
        <w:t>2024年度支出总计6,885.14万元，</w:t>
      </w:r>
      <w:r>
        <w:rPr>
          <w:rFonts w:ascii="仿宋_GB2312" w:hAnsi="仿宋_GB2312" w:eastAsia="仿宋_GB2312"/>
          <w:b w:val="0"/>
          <w:sz w:val="32"/>
        </w:rPr>
        <w:t>其中：本年支出合计6,873.68万元，结余分配0.00万元，年末结转和结余11.46万元。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增加3,710.33万元，增长116.87%，主要原因是：本年增加2024年州直食堂伙食经费、机关食堂维修及厅级干部周转住房物品采购专项经费资金、机关后勤服务保障经费等项目经费。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本年收入6,874.12万元，</w:t>
      </w:r>
      <w:r>
        <w:rPr>
          <w:rFonts w:ascii="仿宋_GB2312" w:hAnsi="仿宋_GB2312" w:eastAsia="仿宋_GB2312"/>
          <w:b w:val="0"/>
          <w:sz w:val="32"/>
        </w:rPr>
        <w:t>其中：财政拨款收入6,873.68万元，占99.99%；上级补助收入0.00万元，占0.00%；事业收入0.00万元，占0.00%；经营收入0.00万元，占0.00%；附属单位上缴收入0.00万元，占0.00%；其他收入0.44万元，占0.006%。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本年支出6,873.68万元，</w:t>
      </w:r>
      <w:r>
        <w:rPr>
          <w:rFonts w:ascii="仿宋_GB2312" w:hAnsi="仿宋_GB2312" w:eastAsia="仿宋_GB2312"/>
          <w:b w:val="0"/>
          <w:sz w:val="32"/>
        </w:rPr>
        <w:t>其中：基本支出353.33万元，占5.14%；项目支出6,520.35万元，占94.86%；上缴上级支出0.00万元，占0.00%；经营支出0.00万元，占0.00%；对附属单位补助支出0.00万元，占0.00%。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2024年度财政拨款收入总计6,873.68万元，</w:t>
      </w:r>
      <w:r>
        <w:rPr>
          <w:rFonts w:ascii="仿宋_GB2312" w:hAnsi="仿宋_GB2312" w:eastAsia="仿宋_GB2312"/>
          <w:b w:val="0"/>
          <w:sz w:val="32"/>
        </w:rPr>
        <w:t>其中：年初财政拨款结转和结余0.00万元，本年财政拨款收入6,873.68万元。</w:t>
      </w:r>
      <w:r>
        <w:rPr>
          <w:rFonts w:ascii="仿宋_GB2312" w:hAnsi="仿宋_GB2312" w:eastAsia="仿宋_GB2312"/>
          <w:b/>
          <w:sz w:val="32"/>
        </w:rPr>
        <w:t>财政拨款支出总计6,873.68万元，</w:t>
      </w:r>
      <w:r>
        <w:rPr>
          <w:rFonts w:ascii="仿宋_GB2312" w:hAnsi="仿宋_GB2312" w:eastAsia="仿宋_GB2312"/>
          <w:b w:val="0"/>
          <w:sz w:val="32"/>
        </w:rPr>
        <w:t>其中：年末财政拨款结转和结余0.00万元，本年财政拨款支出6,873.68万元。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增加3,865.27万元，增长128.48%，主要原因是：本年增加2024年州直食堂伙食经费、机关食堂维修及厅级干部周转住房物品采购专项经费资金、机关后勤服务保障经费等项目经费。</w:t>
      </w:r>
      <w:r>
        <w:rPr>
          <w:rFonts w:ascii="仿宋_GB2312" w:hAnsi="仿宋_GB2312" w:eastAsia="仿宋_GB2312"/>
          <w:b/>
          <w:sz w:val="32"/>
        </w:rPr>
        <w:t>与年初预算相比，</w:t>
      </w:r>
      <w:r>
        <w:rPr>
          <w:rFonts w:ascii="仿宋_GB2312" w:hAnsi="仿宋_GB2312" w:eastAsia="仿宋_GB2312"/>
          <w:b w:val="0"/>
          <w:sz w:val="32"/>
        </w:rPr>
        <w:t>年初预算数4,916.34万元，决算数6,873.68万元，预决算差异率39.81%，主要原因是：年中追加机关食堂维修项目、厅级干部周转住房物品采购专项经费、州直机关食堂补助经费等项目资金，导致预决算存在差异。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2024年度一般公共预算财政拨款支出6,873.68万元，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增加3,865.27万元，增长128.48%，主要原因是：本年增加2024年州直食堂伙食经费、机关食堂维修及厅级干部周转住房物品采购专项经费资金、机关后勤服务保障经费等项目经费。</w:t>
      </w:r>
      <w:r>
        <w:rPr>
          <w:rFonts w:ascii="仿宋_GB2312" w:hAnsi="仿宋_GB2312" w:eastAsia="仿宋_GB2312"/>
          <w:b/>
          <w:sz w:val="32"/>
        </w:rPr>
        <w:t>与年初预算相比,</w:t>
      </w:r>
      <w:r>
        <w:rPr>
          <w:rFonts w:ascii="仿宋_GB2312" w:hAnsi="仿宋_GB2312" w:eastAsia="仿宋_GB2312"/>
          <w:b w:val="0"/>
          <w:sz w:val="32"/>
        </w:rPr>
        <w:t>年初预算数4,916.34万元，决算数6,873.68万元，预决算差异率39.81%，主要原因是：年中追加机关食堂维修项目、厅级干部周转住房物品采购专项经费、州直机关食堂补助经费等项目资金，导致预决算存在差异。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1.一般公共服务支出(类)6,770.15万元,占98.49%。</w:t>
      </w:r>
    </w:p>
    <w:p>
      <w:pPr>
        <w:spacing w:line="580" w:lineRule="exact"/>
        <w:ind w:firstLine="640"/>
        <w:jc w:val="both"/>
      </w:pPr>
      <w:r>
        <w:rPr>
          <w:rFonts w:ascii="仿宋_GB2312" w:hAnsi="仿宋_GB2312" w:eastAsia="仿宋_GB2312"/>
          <w:b w:val="0"/>
          <w:sz w:val="32"/>
        </w:rPr>
        <w:t>2.社会保障和就业支出(类)68.64万元,占1.00%。</w:t>
      </w:r>
    </w:p>
    <w:p>
      <w:pPr>
        <w:spacing w:line="580" w:lineRule="exact"/>
        <w:ind w:firstLine="640"/>
        <w:jc w:val="both"/>
      </w:pPr>
      <w:r>
        <w:rPr>
          <w:rFonts w:ascii="仿宋_GB2312" w:hAnsi="仿宋_GB2312" w:eastAsia="仿宋_GB2312"/>
          <w:b w:val="0"/>
          <w:sz w:val="32"/>
        </w:rPr>
        <w:t>3.卫生健康支出(类)12.00万元,占0.17%。</w:t>
      </w:r>
    </w:p>
    <w:p>
      <w:pPr>
        <w:spacing w:line="580" w:lineRule="exact"/>
        <w:ind w:firstLine="640"/>
        <w:jc w:val="both"/>
      </w:pPr>
      <w:r>
        <w:rPr>
          <w:rFonts w:ascii="仿宋_GB2312" w:hAnsi="仿宋_GB2312" w:eastAsia="仿宋_GB2312"/>
          <w:b w:val="0"/>
          <w:sz w:val="32"/>
        </w:rPr>
        <w:t>4.住房保障支出(类)22.89万元,占0.33%。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一般行政管理事务(项):支出决算数为0.00万元，比上年决算减少103.90万元，下降100.00%,主要原因是：本年纪委大楼敷设专用线路项目质保金、昌吉州党委办公楼电力改造工程审计费及监理费等项目资金减少。</w:t>
      </w:r>
    </w:p>
    <w:p>
      <w:pPr>
        <w:spacing w:line="580" w:lineRule="exact"/>
        <w:ind w:firstLine="640"/>
        <w:jc w:val="both"/>
      </w:pPr>
      <w:r>
        <w:rPr>
          <w:rFonts w:ascii="仿宋_GB2312" w:hAnsi="仿宋_GB2312" w:eastAsia="仿宋_GB2312"/>
          <w:b w:val="0"/>
          <w:sz w:val="32"/>
        </w:rPr>
        <w:t>2.一般公共服务支出(类)政府办公厅（室）及相关机构事务(款)事业运行(项):支出决算数为249.80万元，比上年决算减少21.93万元，下降8.07%,主要原因是：本年在职人员减少，相应人员经费较上年减少。</w:t>
      </w:r>
    </w:p>
    <w:p>
      <w:pPr>
        <w:spacing w:line="580" w:lineRule="exact"/>
        <w:ind w:firstLine="640"/>
        <w:jc w:val="both"/>
      </w:pPr>
      <w:r>
        <w:rPr>
          <w:rFonts w:ascii="仿宋_GB2312" w:hAnsi="仿宋_GB2312" w:eastAsia="仿宋_GB2312"/>
          <w:b w:val="0"/>
          <w:sz w:val="32"/>
        </w:rPr>
        <w:t>3.一般公共服务支出(类)政府办公厅（室）及相关机构事务(款)其他政府办公厅（室）及相关机构事务支出(项):支出决算数为6,520.35万元，比上年决算增加3,966.61万元，增长155.33%,主要原因是：本年增加2024年州直食堂伙食经费、机关食堂维修及厅级干部周转住房物品采购专项经费资金、机关后勤服务保障经费等项目经费。</w:t>
      </w:r>
    </w:p>
    <w:p>
      <w:pPr>
        <w:spacing w:line="580" w:lineRule="exact"/>
        <w:ind w:firstLine="640"/>
        <w:jc w:val="both"/>
      </w:pPr>
      <w:r>
        <w:rPr>
          <w:rFonts w:ascii="仿宋_GB2312" w:hAnsi="仿宋_GB2312" w:eastAsia="仿宋_GB2312"/>
          <w:b w:val="0"/>
          <w:sz w:val="32"/>
        </w:rPr>
        <w:t>4.社会保障和就业支出(类)行政事业单位养老支出(款)事业单位离退休(项):支出决算数为19.52万元，比上年决算增加6.19万元，增长46.44%,主要原因是：本年增加退休人员基础绩效奖，退休费支出增加。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28.51万元，比上年决算增加1.18万元，增长4.32%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20.61万元，比上年决算增加6.94万元，增长50.77%,主要原因是：本年在职人员工资基数调增，职业年金缴费基数上涨，相应支出增加。本年新增退休人员，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7.卫生健康支出(类)行政事业单位医疗(款)行政单位医疗(项):支出决算数为1.88万元，比上年决算增加1.16万元，增长161.11%,主要原因是：本年在职人员工资基数调增，行政单位医疗缴费基数上涨，相应支出增加。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8.卫生健康支出(类)行政事业单位医疗(款)事业单位医疗(项):支出决算数为8.94万元，比上年决算增加6.77万元，增长311.98%,主要原因是：本年在职人员工资基数调增，事业单位医疗缴费基数上涨，相应支出增加。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0.89万元，比上年决算增加0.89万元，增长100.00%,主要原因是：本年功能科目调整，公务员医疗补助上年度在主科目列支，本年单独列支，导致经费较上年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10.卫生健康支出(类)行政事业单位医疗(款)其他行政事业单位医疗支出(项):支出决算数为0.28万元，比上年决算增加0.00万元，增长0.00%,主要原因是：本年在职人员其他行政事业单位医疗支出与上年持平。</w:t>
      </w:r>
    </w:p>
    <w:p>
      <w:pPr>
        <w:spacing w:line="580" w:lineRule="exact"/>
        <w:ind w:firstLine="640"/>
        <w:jc w:val="both"/>
      </w:pPr>
      <w:r>
        <w:rPr>
          <w:rFonts w:ascii="仿宋_GB2312" w:hAnsi="仿宋_GB2312" w:eastAsia="仿宋_GB2312"/>
          <w:b w:val="0"/>
          <w:sz w:val="32"/>
        </w:rPr>
        <w:t>11.住房保障支出(类)住房改革支出(款)住房公积金(项):支出决算数为22.89万元，比上年决算增加1.35万元，增长6.27%,主要原因是：本年在职人员工资基数调增，公积金缴费基数上涨，相应支出增加。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2024年度一般公共预算财政拨款基本支出353.33万元，其中：</w:t>
      </w:r>
      <w:r>
        <w:rPr>
          <w:rFonts w:ascii="仿宋_GB2312" w:hAnsi="仿宋_GB2312" w:eastAsia="仿宋_GB2312"/>
          <w:b/>
          <w:sz w:val="32"/>
        </w:rPr>
        <w:t>人员经费325.98万元，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公用经费27.35万元，</w:t>
      </w:r>
      <w:r>
        <w:rPr>
          <w:rFonts w:ascii="仿宋_GB2312" w:hAnsi="仿宋_GB2312" w:eastAsia="仿宋_GB2312"/>
          <w:b w:val="0"/>
          <w:sz w:val="32"/>
        </w:rPr>
        <w:t>包括：办公费、印刷费、邮电费、取暖费、差旅费、工会经费、福利费、公务用车运行维护费、其他商品和服务支出。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2024年度财政拨款“三公”经费支出6.30万元，</w:t>
      </w:r>
      <w:r>
        <w:rPr>
          <w:rFonts w:ascii="仿宋_GB2312" w:hAnsi="仿宋_GB2312" w:eastAsia="仿宋_GB2312"/>
          <w:b w:val="0"/>
          <w:sz w:val="32"/>
        </w:rPr>
        <w:t>比上年增加0.07万元，增长1.12%，主要原因是：本单位公务用车日渐老化，维修维护成本增加，导致公务用车运行维护费较上年增加。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公务用车购置及运行维护费支出6.30万元，占100.00%，比上年增加0.07万元，增长1.12%，主要原因是：本单位公务用车日渐老化，维修维护成本增加，导致公务用车运行维护费较上年增加。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6.30万元，其中：公务用车购置费0.00万元，公务用车运行维护费6.30万元。公务用车运行维护费开支内容包括车辆加油费、维修费、保险费、审车费、过路费。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6.30万元，决算数6.30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6.30万元，决算数6.30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2024年度昌吉回族自治州机关后勤服务中心（事业单位）公用经费支出27.35万元，比上年减少8.56万元，下降23.84%，主要原因是：严格控制公用经费，合理节约办公用品，减少不必要开支。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2024年度政府采购支出总额1,369.76万元，其中：政府采购货物支出497.38万元、政府采购工程支出105.67万元、政府采购服务支出766.71万元。</w:t>
      </w:r>
    </w:p>
    <w:p>
      <w:pPr>
        <w:spacing w:line="580" w:lineRule="exact"/>
        <w:ind w:firstLine="640"/>
        <w:jc w:val="both"/>
      </w:pPr>
      <w:r>
        <w:rPr>
          <w:rFonts w:ascii="仿宋_GB2312" w:hAnsi="仿宋_GB2312" w:eastAsia="仿宋_GB2312"/>
          <w:b w:val="0"/>
          <w:sz w:val="32"/>
        </w:rPr>
        <w:t>授予中小企业合同金额1,369.76万元，占政府采购支出总额的100.00%，其中：授予小微企业合同金额1,369.76万元，占政府采购支出总额的100.00%。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1,884.00平方米，价值315.90万元。车辆4辆，价值81.29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6,885.14万元，实际执行总额6,873.68万元；预算绩效评价项目9个，全年预算数7,265.92万元，全年执行数6,520.35万元。预算绩效管理取得的成效：一是确保资金的高效使用，切实发挥财政资金的使用效果。二是严格按照工作职责和相关文件依据，确保专款专用。三是严格控制资金的流出方向，确保资金的合规性。发现的问题及原因：一是体系建立不够。部门内部对绩效管理工作重视程度不够,仅有的财务人员疲于应付日常工作,而与实际执行人员较少参与绩效管理,未建立起一体化运行机制。二是人员配置不够充分。部门内部预算绩效职责不清,工作力量安排不到位,预算绩效工作都是财务科室独自完成项目的绩效申报、自评。预算绩效工作缺乏专业人员参与,缺少业务科室的协调配合,把本该有业务部门承担的绩效工作接了过来,简单地将绩效目标制定、跟踪监控等专业性工作归口于财务人员,没有专人承担绩效管理职责,业务管理与绩效管理脱节,弱化了实施预算绩效管理的最基本的环节。三是预算绩效目标设定不够全面。绩效管理不到位,对预算绩效评价审核不严,半数以上预算绩效目标存在填报内容不规范、不完整,个性指标设置不够细化、项目资金执行率较低；预算绩效管理基础数据库没有设立起来,相关的原始资料、信息的汇总、挑选、研究利用工作有待于提升。如部分绩效目标设置不完整。产出指标中,未对质量、成本等重要指标做出具体目标设置;自评不完善,部分预算单位绩效自评表虽设置了一二三级指标,但连最基本的标准分也未设置,同时未对一二三级指标进行自我评价;部分项目存在事前未进行项目评估、事中未执行绩效监控、项目完成后未进行绩效评价等绩效管理问题。项目支出的合理性甚至合规性未形成约束,评价体系、评价标准的不科学,使资金失去严格的监管而达不到资金最初的支出目的。下一步改进措施：一是建立健全预算绩效管理制度。加强预算绩效管理制度学习，明确职责，将业务先行，绩效监控的职能作用发挥出来，不断提升执行人员对于预算绩效的认识，将日常业务与绩效管理联系起来，完善制度体系，加强预算绩效管理应用。二是优化人员配置。财务与科室明确职责,抓实主体责任。按照“谁支出、谁负责”“谁审批、谁负责”的原则,明确资金使用科室是本单位绩效管理的“第一责任人”;各科室负责加强绩效目标和绩效自评结果的审核;财务负责组织和指导绩效管理,并对重点项目开展绩效监控和财政绩效评价。通过明确各相关科室和人员在预算绩效管理工作中的职责,实现层层监督。三是提升绩效指标编制“针对性”。财务要指导各预算科室做好绩效指标的设计工作,重视重点评价工作,因地制宜的制定普遍适用的共性指标和适合本科室的个性指标,将绩效管理真正重视起来。各预算科室继续深化绩效申报及自评工作,在不同项目核心绩效指标的细化、量化上下功夫,做到各级预算指标均能全面、科学地评价本科室项目资金运用情况,从而提高预算资金支出的运行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昌吉回族自治州机关后勤服务中心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4,916.33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6,885.14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6,873.68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5,052.33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6,885.14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6,873.68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中心始终坚持把“围绕中心、服务大局”作为基本职责和履职主线，进一步强化主动意识和政治自觉，照转后勤服务工作特色。完成机关行政办公区、领导干部周转房、水电保障、绿化、环境卫生、消防设施正常运行维保和维护、电梯、空调设备正常运行维保和维护、传媒大厦燃气供暖正常等工作；做好行政办公区有关基本建设，以及建筑物、构筑物和公共设施的统一管理和维护；完成党政机关干部职工，厅级干部就餐及节假日加班就餐工作安排，保障日就餐人数1060人；完成人才公寓庭院绿化、亮化及物业管理，管理运营住房216套，消防维保面积9178.12平米，电梯维保2台；提高机关职工工作生活条件，长期提高机关职工健康生活质量程度。</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实际完成采取维修、调配、租赁、置换等方式，保障党政机关办公楼宇使用数量17栋，保障早中晚就餐单位数量，保障周转住房物品按要求配备齐全100%，严格落实食品留样制度48小时，完成机关行政办公区、领导干部周转房、水电保障、绿化、环境卫生、消防设施正常运行维保和维护、电梯、空调设备正常运行维保和维护、传媒大厦燃气供暖正常等工作；做好行政办公区有关基本建设，以及建筑物、构筑物和公共设施的统一管理和维护；通过该项目实施，提升了服务保障效能，提升了职能履行和重点工作经费保障能力，促进了后勤工作稳定运行和良好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采取维修、调配、租赁、置换等方式，保障党政机关办公楼宇使用数量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&gt;=17栋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党政机关办公用房管理办法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保障早中晚就餐单位数量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&gt;=49家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保障周转住房物品按要求配备齐全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&lt;=28套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严格落实食品留样制度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2024年州直食堂伙食经费补助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2,310.90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2,310.90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规范州直机关食堂伙食补助资金管理，加强伙食补助资金管理，规范资金使用审批程序，提高资金使用效益。进一步提高后勤服务保障标准化、专业化、均衡化水平，州直伙食补助资金统一由州机关后勤服务中心根据州直单位实际在编人数拨付各单位，专户管理、专账核算。食堂补助经费单位大于等于45个；经费拨付次数大于等于2次；单位伙食补助拨款覆盖率100%，资金拨付完成时间不晚于2024年12月10日，人均补助资金标准小于等于22元每天；保障干部职工就餐需求，干部职工满意度大于等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拨付45家单位，完成全年两次资金拨付，拨付及时性和覆盖率100%，拨付标准按照22元/人/天进行拨付，全年按照在编在职拨付资金2291.74万元；通过该项目实施，提升了州直单位机关食堂伙食标准，促进了州直各单位良好就餐环境和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食堂补助经费单位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经费拨付次数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单位伙食补助拨款覆盖率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拨付资金时间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人均补助标准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保障干部职工就餐需求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因及时督促州直单位填报资料，及时拨付，满意度较高。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人才公寓服务经费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411.93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411.93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411.93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411.93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为贯彻落实"人才强州"战略，营造更加暖心舒心的爱才留才环境，规范昌吉州人才公寓的使用管理，确保入住的高层次人才在公寓入住期间安心舒心,管理运营住房数量216套。 保障办公人员数量4人。 完成人才公寓正常运转期限100% 。提高相关符合条件的人才提供基本保障。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管理运行住房数量216套，保障办公人员4人，物业管理考核达标率98%，完成人才公寓运转期限100%，房屋租赁费362万元，人才公寓运行经费49.93万元；通过该项目实施，提升了服务保障效能，提升了职能履行和重点工作经费保障能力，促进了后勤工作稳定运行和良好发展。昌吉州机关后勤服务中心管理运营州人才公寓住房数量216套。 保障办公人员数量4人。 完成人才公寓正常运转期限100% 。提高相关符合条件的人才提供基本保障。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管理运营住房数量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物业管理考核达标率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物业管理考核按照合同设置，实际达标率较高。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完成人才公寓正常运转期限1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处理应急维修事件及时率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处理应急维修事件及时率有提升主要是配备维修人员交叉使用。</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才公寓运行经费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提高相关符合条件的人才提供基本保障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干部职工满意度按照匿名，及时改进，平均满意度较好。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厅级干部周转住房物品采购专项经费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厅级干部周转住房装修已经进入施工阶段，预计四月底之前完工，按照机关食物管理局要求，根据州采购办审批和采购工作程序，开展周转住房家电家具及公共区域物品配置工作。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28套用房物品配置，每套配置按照标准不超过9万元，完成28套物品配置验收，完成项目资金支付362.32万元；通过该项目实施，提升了周转住房基本住宿条件，按照标准配备了相关住房用品，促进了后勤工作进一步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保障周转住房按期投入使用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保障厅级干部周转住房物品配置验收通过率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物品配置按时交付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供应商及时完成物品交付，我单位按照时间节点完成整体物品配备。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配置物品费用不超过预算指标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&lt;=362.32万元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=362.32万元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每套配置不超过规定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提高干部周转住房生活条件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入驻领导满意度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领导干部入驻满意度较高。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责州级机关“四套班子”办公楼、州政府综合办公楼和州政务中心大楼、文化新区大楼的内部环境卫生、庭院绿化、公用设施管理等工作及安保工作保障后勤绿化养护面积&gt;=70250.97平方米；保障办公人员数量&gt;=60人 提高后勤业务保障能力。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后勤绿化养护面积70250.97平方米，保障办公人员数量62人，物业考核达标率98%，保障机关后勤工作合格率95%，处理应急维修事件及时率95%后勤保障运行经费执行1550.00万元，后勤物业保障经费执行409.10万元；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保障后勤绿化养护面积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&gt;=70250.97平方米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=70250.97平方米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保障办公人员根据实际工作量进行配置，与绩效指标略有差异。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物业管理考核达标率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该指标设定按照合同内容，实际执行物业工作完成较好，与绩效指标存在偏差。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保障机关后勤正常运转工作合格率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全年保障后勤运转事项较多，此数据属于平均数，较绩效指标存在偏差。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处理应急维修事件及时率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全年处理应急维修事件较多，此数据属于平均数，较绩效指标存在偏差。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后勤保障运行经费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&lt;=1565.1万元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1009.43万元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后勤保障运行经费中由招标项目，招标与实际中标金额略有差异。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后勤物业保障经费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物业费用，保障费用属于公开招标项，每项中标价格低于预算金额，其次年初预算由基本户支付，所以偏差较大。</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提高后勤业务保障能力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满意度测评使用匿名问卷调查，针对季度问题及时改进，全年满意度取平均数较好。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州直机关食堂伙食补助项目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昌吉州第三次财经委员会议纪要，将州直机关单位机关食堂伙食补助统一纳入州财政预算。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州直单位拨付数量31家，完成了全部州直单位31个伙食经费拨付工作，100%及时拨付资金，按照22元/人/天进行拨付，按照在编在岗实际拨付757.02万元；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拨付食堂补助经费单位的数量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因州直单位开立机关食堂账户要求，其中公安局单独开立账户并收款，所以较预算多一家单位。</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完成全部单位伙食补助经费拨款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拨付资金及时性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因整体过程无单位出现开户问题，资金及时拨付。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按照在编在岗计算伙食补助资金不得高于审批表资金金额（如老年活动中心）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实际拨付资金按照在编在岗，与预算存在偏差。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按照标准拨付伙食补助资金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&lt;=757.02万元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=757.02万元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保障干部职工就餐需求的经济基础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因干部职工满意度使用随机评价，统一统计，存在一定偏差。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干部周转住房运行保障经费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于物业服务公司按照合同内容进行考核，其中下半年服务次数不少于6次，机关后勤服务中心按月对物业服务内容逐项进行考核，合格率不低于90%，对于考核合格月份在当月25号之后进行资金支付，尾款时间在2024年12月10日前完成，不对提高后勤服务保障能力，加强对入住人员满意度的提高。为做好干部周转住房的服务保障工作，采取第三方服务公司和机关后勤服务中心合作管理方式运行，由第三方服务公司组建劳务服务团队负责干部周转住房服务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服务单位1家，服务次数6次，物业验收合格率98.5%，每月物业费用2.5万元，满意度95%，该项目预算资金执行39.18万元；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服务单位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物业服务次数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物业合同约定验收合格率不低于90%，实际物业验收合格率较好，与指标有差异。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每月物业支付金额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干部职工服务保障能力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入驻人员满意度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满意度调查采取匿名调查，针对问题积极改进，取全年平均数，满意度较好。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89.06分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政务中心会务保障设施更换经费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政务中心设备实施根据发展需求随着州政务中心会议工作需求，要求配套设备设施能够保障不同层次会议，根据发展需求，增强服务意识，端正服务态度，提高服务内容，根据不同会议要求、活动，具体安排各类要求，不断协调资源配置。根据设备设施评估和会议要求，购买大于等于UPS一台，话筒大于等于4部，资金支付完成时间在2024年12月10日前，提高会议保障能力，会议使用人员满意度不低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UPS采购1台，话筒4部，设备验收合格率100%，按时支付尾款，项目资金支付16.56万元；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采购UPS</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采购话筒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会议室UPS款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会议话筒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提高会议保障效果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保障使用对象满意度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因满意度评价匿名，并针对问题及时改正，全年平均满意度较高。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机关食堂维修项目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因机关食堂结构性存在安全问题，经过会议研究决定，进行加固处理，将机关食堂维修项目由机关后勤服务中心负责。此次维修旨在提升建筑物的使用寿命和保障使用人员的安全，其设施和设备的正常运转直接关系到餐饮服务的质量和效率。其中维修加固楼层不小于4层，集中一次进行维修，在2024年12月10前完成审计并支付尾款，提高机关食堂就餐环境，提升干部职工就餐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维修加固楼层4层，完成一次维修，项目已经完工，但审计报告暂未出具，项目资金支付102.38万元；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维修加固楼层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该项目已经完成施工，但是验收报告因施工方纠纷暂未出具。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该项目已经完成施工，但是验收报告因施工方纠纷暂未出具。</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维修预付款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该项目预付款指标与实际值略有差异，属于正常范围。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维修剩余款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该项目因验收报告因施工方纠纷暂未出具，项目尾款暂未支付。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食堂就餐环境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干部职工就餐满意度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因机关食堂就餐满意度采取匿名随机抽样调查，满意度属于平均水平，与绩效指标存在偏差。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机关餐厅运行经费/交流干部周转宿舍楼物业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昌吉回族自治州政府机关后勤服务中心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解决州直单位普遍反映的后勤资源分布不均、干部职工"就餐难"等问题。保障全年230000人用餐。保障办公人员数量25人。每日食物留样制度执行率达到100%。提高机关职工工作生活条件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年就餐人次230000，保障办公人员数量27人，每日食物留样制度执行率100%，食物采购及时率100%，项目资金执行757.02万元；通过该项目实施，通过该项目实施，提升了服务保障效能，提升了职能履行和重点工作经费保障能力，促进了后勤工作稳定运行和良好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保障全年用餐人数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&gt;=230000人次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食堂运行经费根据全年就餐人数进行估算，存在一定偏差。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每日食物留样制度执行率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食物采购及时率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食物采购及时率按照食堂相关制度，实际采购采取双人分工协作，可以保障食物采购率。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机关餐厅农副产品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310.03万元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因个人刷卡被要求在下半年支付，所以项目资金有结余。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食堂运行经费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&lt;=290.12万元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213.02万元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食堂运行经费根据全年就餐人数进行估算，存在一定偏差。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提高机关职工工作生活条件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食堂采取不定期匿名满意度调查，针对问题进行改善，全年满意度评价较好。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