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昌吉回族自治州国土资源规划研究院2024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回族自治州国土资源规划研究院受自治州人民政府的委托，承担土地利用，矿产资源总体规划和专项规划编制设计的研究工作；承担有关国土资源评价和调查工作；承担国家、自治区、自治州批准建设用地项目的土地权属勘界工作；承担矿产资源地质勘查项目的设计审核、质量监理等工作。承办自治州人民政府和自治州自然资源局交办的其他事项。</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昌吉回族自治州国土资源规划研究院2024年度，实有人数46人，其中：在职人员28人，增加1人；离休人员0人，增加0人；退休人员18人,增加1人。</w:t>
      </w:r>
    </w:p>
    <w:p>
      <w:pPr>
        <w:spacing w:line="580" w:lineRule="exact"/>
        <w:ind w:firstLine="640"/>
        <w:jc w:val="both"/>
      </w:pPr>
      <w:r>
        <w:rPr>
          <w:rFonts w:ascii="仿宋_GB2312" w:hAnsi="仿宋_GB2312" w:eastAsia="仿宋_GB2312"/>
          <w:sz w:val="32"/>
        </w:rPr>
        <w:t>昌吉回族自治州国土资源规划研究院无下属预算单位，下设7个科室，分别是：总工办、行政办公室、财务室、规划室、勘测一室、勘测二室、勘测三室。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2024年度收入总计2,831.99万元，</w:t>
      </w:r>
      <w:r>
        <w:rPr>
          <w:rFonts w:ascii="仿宋_GB2312" w:hAnsi="仿宋_GB2312" w:eastAsia="仿宋_GB2312"/>
          <w:b w:val="0"/>
          <w:sz w:val="32"/>
        </w:rPr>
        <w:t>其中：本年收入合计2,831.99万元，使用非财政拨款结余（含专用结余）0.00万元，年初结转和结余0.00万元。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2024年度支出总计2,831.99万元，</w:t>
      </w:r>
      <w:r>
        <w:rPr>
          <w:rFonts w:ascii="仿宋_GB2312" w:hAnsi="仿宋_GB2312" w:eastAsia="仿宋_GB2312"/>
          <w:b w:val="0"/>
          <w:sz w:val="32"/>
        </w:rPr>
        <w:t>其中：本年支出合计2,447.36万元，结余分配384.63万元，年末结转和结余0.00万元。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减少667.24万元，下降19.07%，主要原因是：本年用地需求量增加，测绘业务量减少，事业收入较上年减少。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本年收入2,831.99万元，</w:t>
      </w:r>
      <w:r>
        <w:rPr>
          <w:rFonts w:ascii="仿宋_GB2312" w:hAnsi="仿宋_GB2312" w:eastAsia="仿宋_GB2312"/>
          <w:b w:val="0"/>
          <w:sz w:val="32"/>
        </w:rPr>
        <w:t>其中：财政拨款收入466.03万元，占16.46%；上级补助收入0.00万元，占0.00%；事业收入2,338.95万元，占82.59%；经营收入0.00万元，占0.00%；附属单位上缴收入0.00万元，占0.00%；其他收入27.02万元，占0.95%。</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本年支出2,447.36万元，</w:t>
      </w:r>
      <w:r>
        <w:rPr>
          <w:rFonts w:ascii="仿宋_GB2312" w:hAnsi="仿宋_GB2312" w:eastAsia="仿宋_GB2312"/>
          <w:b w:val="0"/>
          <w:sz w:val="32"/>
        </w:rPr>
        <w:t>其中：基本支出1,618.82万元，占66.15%；项目支出828.54万元，占33.85%；上缴上级支出0.00万元，占0.00%；经营支出0.00万元，占0.00%；对附属单位补助支出0.00万元，占0.00%。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2024年度财政拨款收入总计466.03万元，</w:t>
      </w:r>
      <w:r>
        <w:rPr>
          <w:rFonts w:ascii="仿宋_GB2312" w:hAnsi="仿宋_GB2312" w:eastAsia="仿宋_GB2312"/>
          <w:b w:val="0"/>
          <w:sz w:val="32"/>
        </w:rPr>
        <w:t>其中：年初财政拨款结转和结余0.00万元，本年财政拨款收入466.03万元。</w:t>
      </w:r>
      <w:r>
        <w:rPr>
          <w:rFonts w:ascii="仿宋_GB2312" w:hAnsi="仿宋_GB2312" w:eastAsia="仿宋_GB2312"/>
          <w:b/>
          <w:sz w:val="32"/>
        </w:rPr>
        <w:t>财政拨款支出总计466.03万元，</w:t>
      </w:r>
      <w:r>
        <w:rPr>
          <w:rFonts w:ascii="仿宋_GB2312" w:hAnsi="仿宋_GB2312" w:eastAsia="仿宋_GB2312"/>
          <w:b w:val="0"/>
          <w:sz w:val="32"/>
        </w:rPr>
        <w:t>其中：年末财政拨款结转和结余0.00万元，本年财政拨款支出466.03万元。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增加17.06万元，增长3.80%，主要原因是：本年在职人员增加，在职人员工资调增、社保、公积金基数调增，人员经费增加。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年初预算数423.55万元，决算数466.03万元，预决算差异率10.03%，主要原因是：年中追加人员工资、社保、公积金基数调增部分资金，导致预决算存在差异。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2024年度一般公共预算财政拨款支出466.03万元，</w:t>
      </w:r>
      <w:r>
        <w:rPr>
          <w:rFonts w:ascii="仿宋_GB2312" w:hAnsi="仿宋_GB2312" w:eastAsia="仿宋_GB2312"/>
          <w:b w:val="0"/>
          <w:sz w:val="32"/>
        </w:rPr>
        <w:t>占本年支出合计的19.04%。</w:t>
      </w:r>
      <w:r>
        <w:rPr>
          <w:rFonts w:ascii="仿宋_GB2312" w:hAnsi="仿宋_GB2312" w:eastAsia="仿宋_GB2312"/>
          <w:b/>
          <w:sz w:val="32"/>
        </w:rPr>
        <w:t>与上年相比，</w:t>
      </w:r>
      <w:r>
        <w:rPr>
          <w:rFonts w:ascii="仿宋_GB2312" w:hAnsi="仿宋_GB2312" w:eastAsia="仿宋_GB2312"/>
          <w:b w:val="0"/>
          <w:sz w:val="32"/>
        </w:rPr>
        <w:t>增加17.06万元，增长3.80%，主要原因是：本年在职人员增加，在职人员工资调增、社保、公积金基数调增，人员经费增加。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年初预算数423.55万元，决算数466.03万元，预决算差异率10.03%，主要原因是：年中追加人员工资、社保、公积金基数调增部分资金，导致预决算存在差异。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1.社会保障和就业支出(类)94.81万元,占20.34%。</w:t>
      </w:r>
    </w:p>
    <w:p>
      <w:pPr>
        <w:spacing w:line="580" w:lineRule="exact"/>
        <w:ind w:firstLine="640"/>
        <w:jc w:val="both"/>
      </w:pPr>
      <w:r>
        <w:rPr>
          <w:rFonts w:ascii="仿宋_GB2312" w:hAnsi="仿宋_GB2312" w:eastAsia="仿宋_GB2312"/>
          <w:b w:val="0"/>
          <w:sz w:val="32"/>
        </w:rPr>
        <w:t>2.卫生健康支出(类)41.87万元,占8.98%。</w:t>
      </w:r>
    </w:p>
    <w:p>
      <w:pPr>
        <w:spacing w:line="580" w:lineRule="exact"/>
        <w:ind w:firstLine="640"/>
        <w:jc w:val="both"/>
      </w:pPr>
      <w:r>
        <w:rPr>
          <w:rFonts w:ascii="仿宋_GB2312" w:hAnsi="仿宋_GB2312" w:eastAsia="仿宋_GB2312"/>
          <w:b w:val="0"/>
          <w:sz w:val="32"/>
        </w:rPr>
        <w:t>3.自然资源海洋气象等支出(类)279.71万元,占60.02%。</w:t>
      </w:r>
    </w:p>
    <w:p>
      <w:pPr>
        <w:spacing w:line="580" w:lineRule="exact"/>
        <w:ind w:firstLine="640"/>
        <w:jc w:val="both"/>
      </w:pPr>
      <w:r>
        <w:rPr>
          <w:rFonts w:ascii="仿宋_GB2312" w:hAnsi="仿宋_GB2312" w:eastAsia="仿宋_GB2312"/>
          <w:b w:val="0"/>
          <w:sz w:val="32"/>
        </w:rPr>
        <w:t>4.住房保障支出(类)49.63万元,占10.65%。</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1.社会保障和就业支出(类)行政事业单位养老支出(款)事业单位离退休(项):支出决算数为1.60万元，比上年决算增加0.40万元，增长33.33%,主要原因是：本年退休人员增加，退休费支出增加。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62.14万元，比上年决算增加4.74万元，增长8.26%,主要原因是：本年在职人员调薪，养老保险缴费基数调整，缴费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31.07万元，比上年决算增加2.37万元，增长8.26%,主要原因是：本年在职人员调薪，职业年金缴费基数调整，缴费增加。</w:t>
      </w:r>
    </w:p>
    <w:p>
      <w:pPr>
        <w:spacing w:line="580" w:lineRule="exact"/>
        <w:ind w:firstLine="640"/>
        <w:jc w:val="both"/>
      </w:pPr>
      <w:r>
        <w:rPr>
          <w:rFonts w:ascii="仿宋_GB2312" w:hAnsi="仿宋_GB2312" w:eastAsia="仿宋_GB2312"/>
          <w:b w:val="0"/>
          <w:sz w:val="32"/>
        </w:rPr>
        <w:t>4.卫生健康支出(类)行政事业单位医疗(款)事业单位医疗(项):支出决算数为39.67万元，比上年决算增加10.97万元，增长38.22%,主要原因是：本年在职人员调薪，单位医疗缴费基数调整，缴费增加。</w:t>
      </w:r>
    </w:p>
    <w:p>
      <w:pPr>
        <w:spacing w:line="580" w:lineRule="exact"/>
        <w:ind w:firstLine="640"/>
        <w:jc w:val="both"/>
      </w:pPr>
      <w:r>
        <w:rPr>
          <w:rFonts w:ascii="仿宋_GB2312" w:hAnsi="仿宋_GB2312" w:eastAsia="仿宋_GB2312"/>
          <w:b w:val="0"/>
          <w:sz w:val="32"/>
        </w:rPr>
        <w:t>5.卫生健康支出(类)行政事业单位医疗(款)公务员医疗补助(项):支出决算数为1.94万元，比上年决算增加0.15万元，增长8.38%,主要原因是：本年在职人员工资基数调增，医疗缴费基数上涨，相应支出增加。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6.卫生健康支出(类)行政事业单位医疗(款)其他行政事业单位医疗支出(项):支出决算数为0.26万元，比上年决算减少0.23万元，下降46.94%,主要原因是：本年在职转退休1人，新增人员2人，职级不同，工资基数不同，其他行政事业单位医疗支出较上年减少。</w:t>
      </w:r>
    </w:p>
    <w:p>
      <w:pPr>
        <w:spacing w:line="580" w:lineRule="exact"/>
        <w:ind w:firstLine="640"/>
        <w:jc w:val="both"/>
      </w:pPr>
      <w:r>
        <w:rPr>
          <w:rFonts w:ascii="仿宋_GB2312" w:hAnsi="仿宋_GB2312" w:eastAsia="仿宋_GB2312"/>
          <w:b w:val="0"/>
          <w:sz w:val="32"/>
        </w:rPr>
        <w:t>7.自然资源海洋气象等支出(类)自然资源事务(款)自然资源利用与保护(项):支出决算数为279.71万元，比上年决算减少5.82万元，下降2.04%,主要原因是：本年在职转退休1人，新增人员2人，职级不同，工资基数不同，相关人员经费较上年减少。</w:t>
      </w:r>
    </w:p>
    <w:p>
      <w:pPr>
        <w:spacing w:line="580" w:lineRule="exact"/>
        <w:ind w:firstLine="640"/>
        <w:jc w:val="both"/>
      </w:pPr>
      <w:r>
        <w:rPr>
          <w:rFonts w:ascii="仿宋_GB2312" w:hAnsi="仿宋_GB2312" w:eastAsia="仿宋_GB2312"/>
          <w:b w:val="0"/>
          <w:sz w:val="32"/>
        </w:rPr>
        <w:t>8.住房保障支出(类)住房改革支出(款)住房公积金(项):支出决算数为49.63万元，比上年决算增加4.48万元，增长9.92%,主要原因是：本年在职人员工资基数调增，公积金缴费基数上涨，相应支出增加。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2024年度一般公共预算财政拨款基本支出466.03万元，其中：</w:t>
      </w:r>
      <w:r>
        <w:rPr>
          <w:rFonts w:ascii="仿宋_GB2312" w:hAnsi="仿宋_GB2312" w:eastAsia="仿宋_GB2312"/>
          <w:b/>
          <w:sz w:val="32"/>
        </w:rPr>
        <w:t>人员经费458.25万元，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包括：基本工资、津贴补贴、奖金、绩效工资、机关事业单位基本养老保险缴费、职业年金缴费、职工基本医疗保险缴费、公务员医疗补助缴费、其他社会保障缴费、住房公积金、退休费、生活补助、奖励金。</w:t>
      </w:r>
    </w:p>
    <w:p>
      <w:pPr>
        <w:spacing w:line="580" w:lineRule="exact"/>
        <w:ind w:firstLine="640"/>
        <w:jc w:val="both"/>
      </w:pPr>
      <w:r>
        <w:rPr>
          <w:rFonts w:ascii="仿宋_GB2312" w:hAnsi="仿宋_GB2312" w:eastAsia="仿宋_GB2312"/>
          <w:b/>
          <w:sz w:val="32"/>
        </w:rPr>
        <w:t>公用经费7.78万元，</w:t>
      </w:r>
      <w:r>
        <w:rPr>
          <w:rFonts w:ascii="仿宋_GB2312" w:hAnsi="仿宋_GB2312" w:eastAsia="仿宋_GB2312"/>
          <w:b w:val="0"/>
          <w:sz w:val="32"/>
        </w:rPr>
        <w:t>包括：培训费、福利费、其他商品和服务支出。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公务用车购置及运行维护费支出0.00万元，占0.00%，比上年增加0.00万元，增长0.00%，主要原因是：2023年与2024年均未安排公务用车购置及运行维护费支出。</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3辆，与公务用车保有量差异原因是：单位业务用车，车辆费用未使用财政拨款公务用车运行维护费支付，由单位自有经费保障。</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2024年度昌吉回族自治州国土资源规划研究院（事业单位）公用经费支出7.78万元，比上年增加0.74万元，增长10.51%，主要原因是：本年增加办公费、培训费、退休人员活动经费。</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2024年度政府采购支出总额72.72万元，其中：政府采购货物支出25.96万元、政府采购工程支出0.77万元、政府采购服务支出45.98万元。</w:t>
      </w:r>
    </w:p>
    <w:p>
      <w:pPr>
        <w:spacing w:line="580" w:lineRule="exact"/>
        <w:ind w:firstLine="640"/>
        <w:jc w:val="both"/>
      </w:pPr>
      <w:r>
        <w:rPr>
          <w:rFonts w:ascii="仿宋_GB2312" w:hAnsi="仿宋_GB2312" w:eastAsia="仿宋_GB2312"/>
          <w:b w:val="0"/>
          <w:sz w:val="32"/>
        </w:rPr>
        <w:t>授予中小企业合同金额72.72万元，占政府采购支出总额的100.00%，其中：授予小微企业合同金额72.72万元，占政府采购支出总额的100.00%。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2,597.66平方米，价值822.63万元。车辆3辆，价值96.89万元，其中：副部（省）级及以上领导用车0辆、主要负责人用车0辆、机要通信用车0辆、应急保障用车0辆、执法执勤用车0辆、特种专业技术用车0辆、离退休干部服务用车0辆、其他用车3辆，其他用车主要是：皮卡车等业务工作用车。单价100万元（含）以上设备（不含车辆）1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2,831.99万元，实际执行总额2,447.36万元；预算绩效评价项目1个，全年预算数444.41万元，全年执行数441.51万元。预算绩效管理取得的成效：一是对单位基本运转及单位职能履职起到监督和保障作用；二是总结经验做法，找出资金使用和管理中的薄弱环节，进一步加强预算管理，提高财政资金使用效益，为部门科学决策、规范管理提供参考。发现的问题及原因：一是绩效指标的明确性、可衡量性、相关性还需进一步提升。； 二是业务人员绩效管理意识有待增强，未能全面深入认识理解绩效管理工作的意义。绩效管理经验不足，预算绩效管理工作有待进一步落实。下一步改进措施：一是高度重视财政预决算工作，加强预算的约束力。；二是加强内部管理，严格执行预算，坚持厉行节约，进一步降低财务支出。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昌吉回族自治州国土资源规划研究院</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86.42%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8.64</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423.55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466.03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466.03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4,600.00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2,365.96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1,981.33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5,023.55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2,831.99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2,447.36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 xml:space="preserve">目标1：通过预算执行，保障在职人员的工资发放、社会保险、住房公积金等的缴纳，保障单位工作正常进行。 </w:t>
              <w:br/>
              <w:br/>
              <w:t>目标2:做好测绘服务、规划研究等技术服务工作，重点围绕年初设定的年度主要工作任务，按工作进度要求完成昌吉州土地勘测定界工作、土地报批工作、协助昌吉州各县市自然资源局做好技术服务工作。"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2831.99万元，全年执行数为2447.36万元，总预算执行率为86.42。2024年我单位完成以下工作内容：我单位开展测绘技术培训会5次，规划测绘技术培训人数达107人，国土勘测次数达295次，专业设备检测维修合格率达100%，测绘成果抽检通过合格率达100%，村庄规划数据库完成通过率达100%，耕地进出平衡方案完成通过率100%。通过以上工作的实施，为经济社会发展提供自然资源保障服务，提高了自然资源集约节约利用水平，提升了昌吉州各县市自然资源局管理水平。</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开展测绘技术培训会次数（次）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昌吉州国土资源规划研究院2024年度工作计划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规划测绘技术培训人数（人）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昌吉州国土资源规划研究院2024年度工作计划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=107人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国土勘测次数（次）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昌吉州国土资源规划研究院2024年度工作计划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=295次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专业设备检测维修合格率（%）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昌吉州国土资源规划研究院2024年度工作计划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测绘成果抽检通过合格率（%）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昌吉州国土资源规划研究院2024年度工作计划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村庄规划数据库完成通过率（%）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昌吉州国土资源规划研究院2024年度工作计划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耕地进出平衡方案完成通过率(%)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昌吉州国土资源规划研究院2024年度工作计划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运转保障经费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昌吉回族自治州国土资源规划研究院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3,127.73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444.41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441.51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9.84</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3,127.73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444.41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441.51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为了确保单位日常运转工作，及时发放劳务派遣人员工资并缴纳社保，及时发放出差人员差旅费，确保单位设备物资采购、车辆正常运行，保障各项业务工作正常开展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房屋供暖面积2614.36平方米，公务保障用车数量5辆，专业设备检测验收合格率100%，车辆检测验收合格率100%，公务用车运行维护费支付16.05万元，办公费、差旅费、劳务费及委托业务费425.46万元。通过该项目的实施，提升了单位业务能力水平，促进了单位健康有序的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房屋建筑物供暖面积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=2614.36平方米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=2614.36平方米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2614.36平方米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公务保障用车数量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专业设备检测维修验收合格率（%）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车辆检测维修验收合格率（%）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公务运车运行维护费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=16.05万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2024年业务量较少，公务用车使用较少，实际支付未完全达到预算值。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办公费、差旅费、委托业务费、劳务费等日常经费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&lt;=426.41万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=425.46万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825万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2024年业务量较少，办公等日常经费使用较少。</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保障单位业务能力持续提升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98.41分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