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bookmarkStart w:id="0" w:name="_GoBack"/>
      <w:bookmarkEnd w:id="0"/>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昌吉回族自治州供销社2024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5A22D73B">
      <w:r>
        <w:br w:type="page"/>
      </w:r>
    </w:p>
    <w:p w14:paraId="17DFDC63">
      <w:pPr>
        <w:spacing w:line="640" w:lineRule="exact"/>
        <w:jc w:val="center"/>
        <w:outlineLvl w:val="1"/>
      </w:pPr>
      <w:r>
        <w:rPr>
          <w:rFonts w:ascii="黑体" w:hAnsi="黑体" w:eastAsia="黑体"/>
          <w:sz w:val="32"/>
        </w:rPr>
        <w:t>第一部分 单位概况</w:t>
      </w:r>
    </w:p>
    <w:p w14:paraId="68036AF7">
      <w:pPr>
        <w:spacing w:line="640" w:lineRule="exact"/>
        <w:ind w:firstLine="640"/>
        <w:jc w:val="both"/>
        <w:outlineLvl w:val="2"/>
      </w:pPr>
      <w:r>
        <w:rPr>
          <w:rFonts w:ascii="黑体" w:hAnsi="黑体" w:eastAsia="黑体"/>
          <w:sz w:val="32"/>
        </w:rPr>
        <w:t>一、主要职能</w:t>
      </w:r>
    </w:p>
    <w:p w14:paraId="5DEBB739">
      <w:pPr>
        <w:spacing w:line="580" w:lineRule="exact"/>
        <w:ind w:firstLine="640"/>
        <w:jc w:val="both"/>
      </w:pPr>
      <w:r>
        <w:rPr>
          <w:rFonts w:ascii="仿宋_GB2312" w:hAnsi="仿宋_GB2312" w:eastAsia="仿宋_GB2312"/>
          <w:sz w:val="32"/>
        </w:rPr>
        <w:t>（一）宣传贯彻党中央、国务院、自治区和自治州党委、政府有关农村经济工作和社会发展的方针、政策，研究制定全州供销合作社合作经济的发展战略和发展规划，指导服务全州供销合作社系统的改革发展。</w:t>
      </w:r>
    </w:p>
    <w:p w14:paraId="4D49C462">
      <w:pPr>
        <w:spacing w:line="580" w:lineRule="exact"/>
        <w:ind w:firstLine="640"/>
        <w:jc w:val="both"/>
      </w:pPr>
      <w:r>
        <w:rPr>
          <w:rFonts w:ascii="仿宋_GB2312" w:hAnsi="仿宋_GB2312" w:eastAsia="仿宋_GB2312"/>
          <w:sz w:val="32"/>
        </w:rPr>
        <w:t>（二）承担政府和有关部门委托的任务，按照授权对重要农业生产资料、其他商品的经营、储备进行组织、协调和管理，承担政府向社会力量购买的公共服务。</w:t>
      </w:r>
    </w:p>
    <w:p w14:paraId="6814D7B5">
      <w:pPr>
        <w:spacing w:line="580" w:lineRule="exact"/>
        <w:ind w:firstLine="640"/>
        <w:jc w:val="both"/>
      </w:pPr>
      <w:r>
        <w:rPr>
          <w:rFonts w:ascii="仿宋_GB2312" w:hAnsi="仿宋_GB2312" w:eastAsia="仿宋_GB2312"/>
          <w:sz w:val="32"/>
        </w:rPr>
        <w:t>（三）推进供销合作社法治建设，贯彻落实有关法律法规和政策。</w:t>
      </w:r>
    </w:p>
    <w:p w14:paraId="0867D842">
      <w:pPr>
        <w:spacing w:line="580" w:lineRule="exact"/>
        <w:ind w:firstLine="640"/>
        <w:jc w:val="both"/>
      </w:pPr>
      <w:r>
        <w:rPr>
          <w:rFonts w:ascii="仿宋_GB2312" w:hAnsi="仿宋_GB2312" w:eastAsia="仿宋_GB2312"/>
          <w:sz w:val="32"/>
        </w:rPr>
        <w:t>（四）向自治州党委、政府和有关部门反映农民社员及各级供销合作社的意见与诉求，争取扶持政策，维护农民社员和各级供销合作社的合法权益。</w:t>
      </w:r>
    </w:p>
    <w:p w14:paraId="03DAC0B8">
      <w:pPr>
        <w:spacing w:line="580" w:lineRule="exact"/>
        <w:ind w:firstLine="640"/>
        <w:jc w:val="both"/>
      </w:pPr>
      <w:r>
        <w:rPr>
          <w:rFonts w:ascii="仿宋_GB2312" w:hAnsi="仿宋_GB2312" w:eastAsia="仿宋_GB2312"/>
          <w:sz w:val="32"/>
        </w:rPr>
        <w:t>（五）指导全州供销合作社构建联合社机关主导的行业指导体系和社有企业支撑的经营服务体系，形成社企分开、上下贯通、整体协调运转的双线运行机制。</w:t>
      </w:r>
    </w:p>
    <w:p w14:paraId="65F63E73">
      <w:pPr>
        <w:spacing w:line="580" w:lineRule="exact"/>
        <w:ind w:firstLine="640"/>
        <w:jc w:val="both"/>
      </w:pPr>
      <w:r>
        <w:rPr>
          <w:rFonts w:ascii="仿宋_GB2312" w:hAnsi="仿宋_GB2312" w:eastAsia="仿宋_GB2312"/>
          <w:sz w:val="32"/>
        </w:rPr>
        <w:t>（六）指导全州供销合作社的组织建设和制度建设，协调成员社关系，增强联合社的服务功能，完善基层社管理制度，发展农民合作社、综合服务社和消费、金融、土地托管等新型合作经济组织以及行业协会等社会团体，健全农村社会化服务体系，参与乡村治理，密切与农民的联系。</w:t>
      </w:r>
    </w:p>
    <w:p w14:paraId="46093F35">
      <w:pPr>
        <w:spacing w:line="580" w:lineRule="exact"/>
        <w:ind w:firstLine="640"/>
        <w:jc w:val="both"/>
      </w:pPr>
      <w:r>
        <w:rPr>
          <w:rFonts w:ascii="仿宋_GB2312" w:hAnsi="仿宋_GB2312" w:eastAsia="仿宋_GB2312"/>
          <w:sz w:val="32"/>
        </w:rPr>
        <w:t>（七）指导全州供销合作社开展联合合作，增强服务功能，拓展经营服务领域，创新农业生产服务方式和手段，推进县域现代流通服务网络建设，提升农产品流通服务水平，开展再生资源回收利用、农村合作金融、电子商务等业务，打造城乡社区综合服务平台，更好履行为农服务职责。</w:t>
      </w:r>
    </w:p>
    <w:p w14:paraId="747AF633">
      <w:pPr>
        <w:spacing w:line="580" w:lineRule="exact"/>
        <w:ind w:firstLine="640"/>
        <w:jc w:val="both"/>
      </w:pPr>
      <w:r>
        <w:rPr>
          <w:rFonts w:ascii="仿宋_GB2312" w:hAnsi="仿宋_GB2312" w:eastAsia="仿宋_GB2312"/>
          <w:sz w:val="32"/>
        </w:rPr>
        <w:t>（八）指导全州供销合作社系统文化建设，提供信息服务，推进全州供销合作社信息化建设。</w:t>
      </w:r>
    </w:p>
    <w:p w14:paraId="4CFEFA76">
      <w:pPr>
        <w:spacing w:line="580" w:lineRule="exact"/>
        <w:ind w:firstLine="640"/>
        <w:jc w:val="both"/>
      </w:pPr>
      <w:r>
        <w:rPr>
          <w:rFonts w:ascii="仿宋_GB2312" w:hAnsi="仿宋_GB2312" w:eastAsia="仿宋_GB2312"/>
          <w:sz w:val="32"/>
        </w:rPr>
        <w:t>（九）监督、管理和运营社有资产，建立健全社有资产保值增值的考核激励和责任追究制度，依法履行出资人职责，享有出资人权益。</w:t>
      </w:r>
    </w:p>
    <w:p w14:paraId="36C3ECFD">
      <w:pPr>
        <w:spacing w:line="580" w:lineRule="exact"/>
        <w:ind w:firstLine="640"/>
        <w:jc w:val="both"/>
      </w:pPr>
      <w:r>
        <w:rPr>
          <w:rFonts w:ascii="仿宋_GB2312" w:hAnsi="仿宋_GB2312" w:eastAsia="仿宋_GB2312"/>
          <w:sz w:val="32"/>
        </w:rPr>
        <w:t>（十）加强本社对所属及有关行业和业务范围内的全州性社会团体的组织、服务、指导和监督，推动行业协会与联合社融合互补、协同发展。</w:t>
      </w:r>
    </w:p>
    <w:p w14:paraId="2F029356">
      <w:pPr>
        <w:spacing w:line="580" w:lineRule="exact"/>
        <w:ind w:firstLine="640"/>
        <w:jc w:val="both"/>
      </w:pPr>
      <w:r>
        <w:rPr>
          <w:rFonts w:ascii="仿宋_GB2312" w:hAnsi="仿宋_GB2312" w:eastAsia="仿宋_GB2312"/>
          <w:sz w:val="32"/>
        </w:rPr>
        <w:t>（十一）代表全州合作经济组织参加上级供销合作社组织的活动，与相关经济组织、社会团体、科研教育机构和有关政府部门等开展经济、贸易、技术、人才交流合作，接受捐赠、资助。</w:t>
      </w:r>
    </w:p>
    <w:p w14:paraId="0B96F394">
      <w:pPr>
        <w:spacing w:line="580" w:lineRule="exact"/>
        <w:ind w:firstLine="640"/>
        <w:jc w:val="both"/>
      </w:pPr>
      <w:r>
        <w:rPr>
          <w:rFonts w:ascii="仿宋_GB2312" w:hAnsi="仿宋_GB2312" w:eastAsia="仿宋_GB2312"/>
          <w:sz w:val="32"/>
        </w:rPr>
        <w:t>（十二）承办自治州党委、人民政府、自治区供销合作社联合社交办的其他事项。</w:t>
      </w:r>
    </w:p>
    <w:p w14:paraId="1F38158F">
      <w:pPr>
        <w:spacing w:line="640" w:lineRule="exact"/>
        <w:ind w:firstLine="640"/>
        <w:jc w:val="both"/>
        <w:outlineLvl w:val="2"/>
      </w:pPr>
      <w:r>
        <w:rPr>
          <w:rFonts w:ascii="黑体" w:hAnsi="黑体" w:eastAsia="黑体"/>
          <w:sz w:val="32"/>
        </w:rPr>
        <w:t>二、机构设置及人员情况</w:t>
      </w:r>
    </w:p>
    <w:p w14:paraId="06CA496F">
      <w:pPr>
        <w:spacing w:line="580" w:lineRule="exact"/>
        <w:ind w:firstLine="640"/>
        <w:jc w:val="both"/>
      </w:pPr>
      <w:r>
        <w:rPr>
          <w:rFonts w:ascii="仿宋_GB2312" w:hAnsi="仿宋_GB2312" w:eastAsia="仿宋_GB2312"/>
          <w:sz w:val="32"/>
        </w:rPr>
        <w:t>昌吉回族自治州供销社2024年度，实有人数54人，其中：在职人员19人，增加1人；离休人员1人，增加0人；退休人员34人,增加2人。</w:t>
      </w:r>
    </w:p>
    <w:p w14:paraId="606C818C">
      <w:pPr>
        <w:spacing w:line="580" w:lineRule="exact"/>
        <w:ind w:firstLine="640"/>
        <w:jc w:val="both"/>
      </w:pPr>
      <w:r>
        <w:rPr>
          <w:rFonts w:ascii="仿宋_GB2312" w:hAnsi="仿宋_GB2312" w:eastAsia="仿宋_GB2312"/>
          <w:sz w:val="32"/>
        </w:rPr>
        <w:t>昌吉回族自治州供销社无下属预算单位，下设5个科室，分别是：行政办公室、监事会办公室、综合业务科、合作经济指导科、财务统计科。</w:t>
      </w:r>
    </w:p>
    <w:p w14:paraId="5B12F1E8">
      <w:r>
        <w:br w:type="page"/>
      </w:r>
    </w:p>
    <w:p w14:paraId="5BE463B8">
      <w:pPr>
        <w:spacing w:line="240" w:lineRule="auto"/>
        <w:jc w:val="center"/>
        <w:outlineLvl w:val="1"/>
      </w:pPr>
      <w:r>
        <w:rPr>
          <w:rFonts w:ascii="黑体" w:hAnsi="黑体" w:eastAsia="黑体"/>
          <w:sz w:val="32"/>
        </w:rPr>
        <w:t>第二部分 部门决算情况说明</w:t>
      </w:r>
    </w:p>
    <w:p w14:paraId="21FBF5C8">
      <w:pPr>
        <w:spacing w:line="640" w:lineRule="exact"/>
        <w:ind w:firstLine="640"/>
        <w:jc w:val="both"/>
        <w:outlineLvl w:val="2"/>
      </w:pPr>
      <w:r>
        <w:rPr>
          <w:rFonts w:ascii="黑体" w:hAnsi="黑体" w:eastAsia="黑体"/>
          <w:sz w:val="32"/>
        </w:rPr>
        <w:t>一、收入支出决算总体情况说明</w:t>
      </w:r>
    </w:p>
    <w:p w14:paraId="51B19EDB">
      <w:pPr>
        <w:spacing w:line="580" w:lineRule="exact"/>
        <w:ind w:firstLine="640"/>
        <w:jc w:val="both"/>
      </w:pPr>
      <w:r>
        <w:rPr>
          <w:rFonts w:ascii="仿宋_GB2312" w:hAnsi="仿宋_GB2312" w:eastAsia="仿宋_GB2312"/>
          <w:b/>
          <w:sz w:val="32"/>
        </w:rPr>
        <w:t>2024年度收入总计613.14万元，</w:t>
      </w:r>
      <w:r>
        <w:rPr>
          <w:rFonts w:ascii="仿宋_GB2312" w:hAnsi="仿宋_GB2312" w:eastAsia="仿宋_GB2312"/>
          <w:b w:val="0"/>
          <w:sz w:val="32"/>
        </w:rPr>
        <w:t>其中：本年收入合计580.43万元，使用非财政拨款结余（含专用结余）0.00万元，年初结转和结余32.71万元。</w:t>
      </w:r>
    </w:p>
    <w:p w14:paraId="6001E3DC">
      <w:pPr>
        <w:spacing w:line="580" w:lineRule="exact"/>
        <w:ind w:firstLine="640"/>
        <w:jc w:val="both"/>
      </w:pPr>
      <w:r>
        <w:rPr>
          <w:rFonts w:ascii="仿宋_GB2312" w:hAnsi="仿宋_GB2312" w:eastAsia="仿宋_GB2312"/>
          <w:b/>
          <w:sz w:val="32"/>
        </w:rPr>
        <w:t>2024年度支出总计613.14万元，</w:t>
      </w:r>
      <w:r>
        <w:rPr>
          <w:rFonts w:ascii="仿宋_GB2312" w:hAnsi="仿宋_GB2312" w:eastAsia="仿宋_GB2312"/>
          <w:b w:val="0"/>
          <w:sz w:val="32"/>
        </w:rPr>
        <w:t>其中：本年支出合计586.16万元，结余分配0.00万元，年末结转和结余26.98万元。</w:t>
      </w:r>
    </w:p>
    <w:p w14:paraId="0CD98E02">
      <w:pPr>
        <w:spacing w:line="580" w:lineRule="exact"/>
        <w:ind w:firstLine="640"/>
        <w:jc w:val="both"/>
      </w:pPr>
      <w:r>
        <w:rPr>
          <w:rFonts w:ascii="仿宋_GB2312" w:hAnsi="仿宋_GB2312" w:eastAsia="仿宋_GB2312"/>
          <w:b w:val="0"/>
          <w:sz w:val="32"/>
        </w:rPr>
        <w:t>收入支出总体与上年相比，减少183.25万元，下降23.01%，主要原因是：本年减少援疆资金-外销平台建设经费。</w:t>
      </w:r>
    </w:p>
    <w:p w14:paraId="169E1A2A">
      <w:pPr>
        <w:spacing w:line="640" w:lineRule="exact"/>
        <w:ind w:firstLine="640"/>
        <w:jc w:val="both"/>
        <w:outlineLvl w:val="2"/>
      </w:pPr>
      <w:r>
        <w:rPr>
          <w:rFonts w:ascii="黑体" w:hAnsi="黑体" w:eastAsia="黑体"/>
          <w:sz w:val="32"/>
        </w:rPr>
        <w:t>二、收入决算情况说明</w:t>
      </w:r>
    </w:p>
    <w:p w14:paraId="67128E87">
      <w:pPr>
        <w:spacing w:line="580" w:lineRule="exact"/>
        <w:ind w:firstLine="640"/>
        <w:jc w:val="both"/>
      </w:pPr>
      <w:r>
        <w:rPr>
          <w:rFonts w:ascii="仿宋_GB2312" w:hAnsi="仿宋_GB2312" w:eastAsia="仿宋_GB2312"/>
          <w:b/>
          <w:sz w:val="32"/>
        </w:rPr>
        <w:t>本年收入580.43万元，</w:t>
      </w:r>
      <w:r>
        <w:rPr>
          <w:rFonts w:ascii="仿宋_GB2312" w:hAnsi="仿宋_GB2312" w:eastAsia="仿宋_GB2312"/>
          <w:b w:val="0"/>
          <w:sz w:val="32"/>
        </w:rPr>
        <w:t>其中：财政拨款收入479.24万元，占82.57%；上级补助收入0.00万元，占0.00%；事业收入0.00万元，占0.00%；经营收入0.00万元，占0.00%；附属单位上缴收入0.00万元，占0.00%；其他收入101.20万元，占17.44%。</w:t>
      </w:r>
    </w:p>
    <w:p w14:paraId="55B636EA">
      <w:pPr>
        <w:spacing w:line="640" w:lineRule="exact"/>
        <w:ind w:firstLine="640"/>
        <w:jc w:val="both"/>
        <w:outlineLvl w:val="2"/>
      </w:pPr>
      <w:r>
        <w:rPr>
          <w:rFonts w:ascii="黑体" w:hAnsi="黑体" w:eastAsia="黑体"/>
          <w:sz w:val="32"/>
        </w:rPr>
        <w:t>三、支出决算情况说明</w:t>
      </w:r>
    </w:p>
    <w:p w14:paraId="263B9DC7">
      <w:pPr>
        <w:spacing w:line="580" w:lineRule="exact"/>
        <w:ind w:firstLine="640"/>
        <w:jc w:val="both"/>
      </w:pPr>
      <w:r>
        <w:rPr>
          <w:rFonts w:ascii="仿宋_GB2312" w:hAnsi="仿宋_GB2312" w:eastAsia="仿宋_GB2312"/>
          <w:b/>
          <w:sz w:val="32"/>
        </w:rPr>
        <w:t>本年支出586.16万元，</w:t>
      </w:r>
      <w:r>
        <w:rPr>
          <w:rFonts w:ascii="仿宋_GB2312" w:hAnsi="仿宋_GB2312" w:eastAsia="仿宋_GB2312"/>
          <w:b w:val="0"/>
          <w:sz w:val="32"/>
        </w:rPr>
        <w:t>其中：基本支出471.01万元，占80.36%；项目支出115.16万元，占19.65%；上缴上级支出0.00万元，占0.00%；经营支出0.00万元，占0.00%；对附属单位补助支出0.00万元，占0.00%。</w:t>
      </w:r>
    </w:p>
    <w:p w14:paraId="4EDE6F71">
      <w:pPr>
        <w:spacing w:line="640" w:lineRule="exact"/>
        <w:ind w:firstLine="640"/>
        <w:jc w:val="both"/>
        <w:outlineLvl w:val="2"/>
      </w:pPr>
      <w:r>
        <w:rPr>
          <w:rFonts w:ascii="黑体" w:hAnsi="黑体" w:eastAsia="黑体"/>
          <w:sz w:val="32"/>
        </w:rPr>
        <w:t>四、财政拨款收入支出决算总体情况说明</w:t>
      </w:r>
    </w:p>
    <w:p w14:paraId="7D967829">
      <w:pPr>
        <w:spacing w:line="580" w:lineRule="exact"/>
        <w:ind w:firstLine="640"/>
        <w:jc w:val="both"/>
      </w:pPr>
      <w:r>
        <w:rPr>
          <w:rFonts w:ascii="仿宋_GB2312" w:hAnsi="仿宋_GB2312" w:eastAsia="仿宋_GB2312"/>
          <w:b/>
          <w:sz w:val="32"/>
        </w:rPr>
        <w:t>2024年度财政拨款收入总计479.24万元，</w:t>
      </w:r>
      <w:r>
        <w:rPr>
          <w:rFonts w:ascii="仿宋_GB2312" w:hAnsi="仿宋_GB2312" w:eastAsia="仿宋_GB2312"/>
          <w:b w:val="0"/>
          <w:sz w:val="32"/>
        </w:rPr>
        <w:t>其中：年初财政拨款结转和结余0.00万元，本年财政拨款收入479.24万元。</w:t>
      </w:r>
      <w:r>
        <w:rPr>
          <w:rFonts w:ascii="仿宋_GB2312" w:hAnsi="仿宋_GB2312" w:eastAsia="仿宋_GB2312"/>
          <w:b/>
          <w:sz w:val="32"/>
        </w:rPr>
        <w:t>财政拨款支出总计479.24万元，</w:t>
      </w:r>
      <w:r>
        <w:rPr>
          <w:rFonts w:ascii="仿宋_GB2312" w:hAnsi="仿宋_GB2312" w:eastAsia="仿宋_GB2312"/>
          <w:b w:val="0"/>
          <w:sz w:val="32"/>
        </w:rPr>
        <w:t>其中：年末财政拨款结转和结余0.00万元，本年财政拨款支出479.24万元。</w:t>
      </w:r>
    </w:p>
    <w:p w14:paraId="13371388">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减少84.52万元，下降14.99%，主要原因是：有人员退休，人员经费收入支出降低。</w:t>
      </w:r>
      <w:r>
        <w:rPr>
          <w:rFonts w:ascii="仿宋_GB2312" w:hAnsi="仿宋_GB2312" w:eastAsia="仿宋_GB2312"/>
          <w:b/>
          <w:sz w:val="32"/>
        </w:rPr>
        <w:t>与年初预算相比，</w:t>
      </w:r>
      <w:r>
        <w:rPr>
          <w:rFonts w:ascii="仿宋_GB2312" w:hAnsi="仿宋_GB2312" w:eastAsia="仿宋_GB2312"/>
          <w:b w:val="0"/>
          <w:sz w:val="32"/>
        </w:rPr>
        <w:t>年初预算数406.74万元，决算数479.24万元，预决算差异率17.82%，主要原因是：主要是期间有人员调入，及人员工资变动、社保、基础绩效绩效奖等变动，致使决算数大于年初预算数。</w:t>
      </w:r>
    </w:p>
    <w:p w14:paraId="7C568BAA">
      <w:pPr>
        <w:spacing w:line="640" w:lineRule="exact"/>
        <w:ind w:firstLine="640"/>
        <w:jc w:val="both"/>
        <w:outlineLvl w:val="2"/>
      </w:pPr>
      <w:r>
        <w:rPr>
          <w:rFonts w:ascii="黑体" w:hAnsi="黑体" w:eastAsia="黑体"/>
          <w:sz w:val="32"/>
        </w:rPr>
        <w:t>五、一般公共预算财政拨款支出决算情况说明</w:t>
      </w:r>
    </w:p>
    <w:p w14:paraId="1E708E57">
      <w:pPr>
        <w:spacing w:line="640" w:lineRule="exact"/>
        <w:ind w:firstLine="640"/>
        <w:jc w:val="both"/>
        <w:outlineLvl w:val="3"/>
      </w:pPr>
      <w:r>
        <w:rPr>
          <w:rFonts w:ascii="楷体_GB2312" w:hAnsi="楷体_GB2312" w:eastAsia="楷体_GB2312"/>
          <w:b/>
          <w:sz w:val="32"/>
        </w:rPr>
        <w:t>（一）一般公共预算财政拨款支出决算总体情况</w:t>
      </w:r>
    </w:p>
    <w:p w14:paraId="2C9A37F2">
      <w:pPr>
        <w:spacing w:line="580" w:lineRule="exact"/>
        <w:ind w:firstLine="640"/>
        <w:jc w:val="both"/>
      </w:pPr>
      <w:r>
        <w:rPr>
          <w:rFonts w:ascii="仿宋_GB2312" w:hAnsi="仿宋_GB2312" w:eastAsia="仿宋_GB2312"/>
          <w:b/>
          <w:sz w:val="32"/>
        </w:rPr>
        <w:t>2024年度一般公共预算财政拨款支出479.24万元，</w:t>
      </w:r>
      <w:r>
        <w:rPr>
          <w:rFonts w:ascii="仿宋_GB2312" w:hAnsi="仿宋_GB2312" w:eastAsia="仿宋_GB2312"/>
          <w:b w:val="0"/>
          <w:sz w:val="32"/>
        </w:rPr>
        <w:t>占本年支出合计的81.76%。</w:t>
      </w:r>
      <w:r>
        <w:rPr>
          <w:rFonts w:ascii="仿宋_GB2312" w:hAnsi="仿宋_GB2312" w:eastAsia="仿宋_GB2312"/>
          <w:b/>
          <w:sz w:val="32"/>
        </w:rPr>
        <w:t>与上年相比，</w:t>
      </w:r>
      <w:r>
        <w:rPr>
          <w:rFonts w:ascii="仿宋_GB2312" w:hAnsi="仿宋_GB2312" w:eastAsia="仿宋_GB2312"/>
          <w:b w:val="0"/>
          <w:sz w:val="32"/>
        </w:rPr>
        <w:t>减少84.52万元，下降14.99%，主要原因是：有人员退休，相关人员经费较上年减少。</w:t>
      </w:r>
      <w:r>
        <w:rPr>
          <w:rFonts w:ascii="仿宋_GB2312" w:hAnsi="仿宋_GB2312" w:eastAsia="仿宋_GB2312"/>
          <w:b/>
          <w:sz w:val="32"/>
        </w:rPr>
        <w:t>与年初预算相比,</w:t>
      </w:r>
      <w:r>
        <w:rPr>
          <w:rFonts w:ascii="仿宋_GB2312" w:hAnsi="仿宋_GB2312" w:eastAsia="仿宋_GB2312"/>
          <w:b w:val="0"/>
          <w:sz w:val="32"/>
        </w:rPr>
        <w:t>年初预算数406.74万元，决算数479.24万元，预决算差异率17.82%，主要原因是：主要是期间有人员调入，及人员工资变动、社保、基础绩效绩效奖等变动，年中追加人员工资、社保、公积金基数调增部分资金，导致预决算存在差异。</w:t>
      </w:r>
    </w:p>
    <w:p w14:paraId="59D7036B">
      <w:pPr>
        <w:spacing w:line="640" w:lineRule="exact"/>
        <w:ind w:firstLine="640"/>
        <w:jc w:val="both"/>
        <w:outlineLvl w:val="3"/>
      </w:pPr>
      <w:r>
        <w:rPr>
          <w:rFonts w:ascii="楷体_GB2312" w:hAnsi="楷体_GB2312" w:eastAsia="楷体_GB2312"/>
          <w:b/>
          <w:sz w:val="32"/>
        </w:rPr>
        <w:t>（二）一般公共预算财政拨款支出决算结构情况</w:t>
      </w:r>
    </w:p>
    <w:p w14:paraId="7DA06546">
      <w:pPr>
        <w:spacing w:line="580" w:lineRule="exact"/>
        <w:ind w:firstLine="640"/>
        <w:jc w:val="both"/>
      </w:pPr>
      <w:r>
        <w:rPr>
          <w:rFonts w:ascii="仿宋_GB2312" w:hAnsi="仿宋_GB2312" w:eastAsia="仿宋_GB2312"/>
          <w:b w:val="0"/>
          <w:sz w:val="32"/>
        </w:rPr>
        <w:t>1.社会保障和就业支出(类)101.33万元,占21.14%。</w:t>
      </w:r>
    </w:p>
    <w:p w14:paraId="0B623D84">
      <w:pPr>
        <w:spacing w:line="580" w:lineRule="exact"/>
        <w:ind w:firstLine="640"/>
        <w:jc w:val="both"/>
      </w:pPr>
      <w:r>
        <w:rPr>
          <w:rFonts w:ascii="仿宋_GB2312" w:hAnsi="仿宋_GB2312" w:eastAsia="仿宋_GB2312"/>
          <w:b w:val="0"/>
          <w:sz w:val="32"/>
        </w:rPr>
        <w:t>2.卫生健康支出(类)19.68万元,占4.11%。</w:t>
      </w:r>
    </w:p>
    <w:p w14:paraId="5093BA41">
      <w:pPr>
        <w:spacing w:line="580" w:lineRule="exact"/>
        <w:ind w:firstLine="640"/>
        <w:jc w:val="both"/>
      </w:pPr>
      <w:r>
        <w:rPr>
          <w:rFonts w:ascii="仿宋_GB2312" w:hAnsi="仿宋_GB2312" w:eastAsia="仿宋_GB2312"/>
          <w:b w:val="0"/>
          <w:sz w:val="32"/>
        </w:rPr>
        <w:t>3.商业服务业等支出(类)323.55万元,占67.51%。</w:t>
      </w:r>
    </w:p>
    <w:p w14:paraId="22CC13C2">
      <w:pPr>
        <w:spacing w:line="580" w:lineRule="exact"/>
        <w:ind w:firstLine="640"/>
        <w:jc w:val="both"/>
      </w:pPr>
      <w:r>
        <w:rPr>
          <w:rFonts w:ascii="仿宋_GB2312" w:hAnsi="仿宋_GB2312" w:eastAsia="仿宋_GB2312"/>
          <w:b w:val="0"/>
          <w:sz w:val="32"/>
        </w:rPr>
        <w:t>4.住房保障支出(类)29.44万元,占6.14%。</w:t>
      </w:r>
    </w:p>
    <w:p w14:paraId="2C2CA626">
      <w:pPr>
        <w:spacing w:line="580" w:lineRule="exact"/>
        <w:ind w:firstLine="640"/>
        <w:jc w:val="both"/>
      </w:pPr>
      <w:r>
        <w:rPr>
          <w:rFonts w:ascii="仿宋_GB2312" w:hAnsi="仿宋_GB2312" w:eastAsia="仿宋_GB2312"/>
          <w:b w:val="0"/>
          <w:sz w:val="32"/>
        </w:rPr>
        <w:t>5.其他支出(类)5.25万元,占1.10%。</w:t>
      </w:r>
    </w:p>
    <w:p w14:paraId="6B00DD6C">
      <w:pPr>
        <w:spacing w:line="640" w:lineRule="exact"/>
        <w:ind w:firstLine="640"/>
        <w:jc w:val="both"/>
        <w:outlineLvl w:val="3"/>
      </w:pPr>
      <w:r>
        <w:rPr>
          <w:rFonts w:ascii="楷体_GB2312" w:hAnsi="楷体_GB2312" w:eastAsia="楷体_GB2312"/>
          <w:b/>
          <w:sz w:val="32"/>
        </w:rPr>
        <w:t>（三）一般公共预算财政拨款支出决算具体情况</w:t>
      </w:r>
    </w:p>
    <w:p w14:paraId="40E13583">
      <w:pPr>
        <w:spacing w:line="580" w:lineRule="exact"/>
        <w:ind w:firstLine="640"/>
        <w:jc w:val="both"/>
      </w:pPr>
      <w:r>
        <w:rPr>
          <w:rFonts w:ascii="仿宋_GB2312" w:hAnsi="仿宋_GB2312" w:eastAsia="仿宋_GB2312"/>
          <w:b w:val="0"/>
          <w:sz w:val="32"/>
        </w:rPr>
        <w:t>1.一般公共服务支出(类)统战事务(款)宗教事务(项):支出决算数为0.00万元，比上年决算减少1.21万元，下降100.00%,主要原因是：本年减少驻寺人员经费，导致经费减少。</w:t>
      </w:r>
    </w:p>
    <w:p w14:paraId="1555169D">
      <w:pPr>
        <w:spacing w:line="580" w:lineRule="exact"/>
        <w:ind w:firstLine="640"/>
        <w:jc w:val="both"/>
      </w:pPr>
      <w:r>
        <w:rPr>
          <w:rFonts w:ascii="仿宋_GB2312" w:hAnsi="仿宋_GB2312" w:eastAsia="仿宋_GB2312"/>
          <w:b w:val="0"/>
          <w:sz w:val="32"/>
        </w:rPr>
        <w:t>2.社会保障和就业支出(类)行政事业单位养老支出(款)事业单位离退休(项):支出决算数为33.30万元，比上年决算增加13.19万元，增长65.59%,主要原因是：本年退休人员增加，发放退休人员基础绩效，退休费支出增加。</w:t>
      </w:r>
    </w:p>
    <w:p w14:paraId="2C129BAE">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36.83万元，比上年决算增加3.34万元，增长9.97%,主要原因是：本年在职人员工资基数调增，养老缴费基数上涨，相应支出增加。</w:t>
      </w:r>
    </w:p>
    <w:p w14:paraId="2DD1E1C0">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31.20万元，比上年决算减少5.74万元，下降15.54%,主要原因是：本年新增退休人员较上年减少，导致职业年金缴费支出减少。</w:t>
      </w:r>
    </w:p>
    <w:p w14:paraId="0B8CE5FF">
      <w:pPr>
        <w:spacing w:line="580" w:lineRule="exact"/>
        <w:ind w:firstLine="640"/>
        <w:jc w:val="both"/>
      </w:pPr>
      <w:r>
        <w:rPr>
          <w:rFonts w:ascii="仿宋_GB2312" w:hAnsi="仿宋_GB2312" w:eastAsia="仿宋_GB2312"/>
          <w:b w:val="0"/>
          <w:sz w:val="32"/>
        </w:rPr>
        <w:t>5.卫生健康支出(类)行政事业单位医疗(款)行政单位医疗(项):支出决算数为18.41万元，比上年决算减少1.63万元，下降8.13%,主要原因是：本年人员调入，退休，人员职级不同，基数不同，导致行政单位医疗缴费支出减少。</w:t>
      </w:r>
    </w:p>
    <w:p w14:paraId="6BBCB29C">
      <w:pPr>
        <w:spacing w:line="580" w:lineRule="exact"/>
        <w:ind w:firstLine="640"/>
        <w:jc w:val="both"/>
      </w:pPr>
      <w:r>
        <w:rPr>
          <w:rFonts w:ascii="仿宋_GB2312" w:hAnsi="仿宋_GB2312" w:eastAsia="仿宋_GB2312"/>
          <w:b w:val="0"/>
          <w:sz w:val="32"/>
        </w:rPr>
        <w:t>6.卫生健康支出(类)行政事业单位医疗(款)公务员医疗补助(项):支出决算数为1.15万元，比上年决算减少0.10万元，下降8.00%,主要原因是：本年人员调入，退休，人员职级不同，基数不同，导致公务员医疗补助缴费支出减少。</w:t>
      </w:r>
    </w:p>
    <w:p w14:paraId="457769E6">
      <w:pPr>
        <w:spacing w:line="580" w:lineRule="exact"/>
        <w:ind w:firstLine="640"/>
        <w:jc w:val="both"/>
      </w:pPr>
      <w:r>
        <w:rPr>
          <w:rFonts w:ascii="仿宋_GB2312" w:hAnsi="仿宋_GB2312" w:eastAsia="仿宋_GB2312"/>
          <w:b w:val="0"/>
          <w:sz w:val="32"/>
        </w:rPr>
        <w:t>7.卫生健康支出(类)行政事业单位医疗(款)其他行政事业单位医疗支出(项):支出决算数为0.12万元，比上年决算减少0.17万元，下降58.62%,主要原因是：本年人员调入，退休，人员职级不同，基数不同，导致其他行政事业单位医疗支出缴费支出减少。</w:t>
      </w:r>
    </w:p>
    <w:p w14:paraId="5DB593A7">
      <w:pPr>
        <w:spacing w:line="580" w:lineRule="exact"/>
        <w:ind w:firstLine="640"/>
        <w:jc w:val="both"/>
      </w:pPr>
      <w:r>
        <w:rPr>
          <w:rFonts w:ascii="仿宋_GB2312" w:hAnsi="仿宋_GB2312" w:eastAsia="仿宋_GB2312"/>
          <w:b w:val="0"/>
          <w:sz w:val="32"/>
        </w:rPr>
        <w:t>8.农林水支出(类)农业农村(款)其他农业农村支出(项):支出决算数为0.00万元，比上年决算减少90.00万元，下降100.00%,主要原因是：本年减少农业产业化发展专项资金、农业产业化发展项目（前置仓建设）。</w:t>
      </w:r>
    </w:p>
    <w:p w14:paraId="1C898796">
      <w:pPr>
        <w:spacing w:line="580" w:lineRule="exact"/>
        <w:ind w:firstLine="640"/>
        <w:jc w:val="both"/>
      </w:pPr>
      <w:r>
        <w:rPr>
          <w:rFonts w:ascii="仿宋_GB2312" w:hAnsi="仿宋_GB2312" w:eastAsia="仿宋_GB2312"/>
          <w:b w:val="0"/>
          <w:sz w:val="32"/>
        </w:rPr>
        <w:t>9.商业服务业等支出(类)商业流通事务(款)行政运行(项):支出决算数为320.55万元，比上年决算增加2.60万元，增长0.82%,主要原因是：本年在职人员工资调增，导致相关人员经费较上年有所增加。</w:t>
      </w:r>
    </w:p>
    <w:p w14:paraId="1FC81FFE">
      <w:pPr>
        <w:spacing w:line="580" w:lineRule="exact"/>
        <w:ind w:firstLine="640"/>
        <w:jc w:val="both"/>
      </w:pPr>
      <w:r>
        <w:rPr>
          <w:rFonts w:ascii="仿宋_GB2312" w:hAnsi="仿宋_GB2312" w:eastAsia="仿宋_GB2312"/>
          <w:b w:val="0"/>
          <w:sz w:val="32"/>
        </w:rPr>
        <w:t>10.商业服务业等支出(类)商业流通事务(款)其他商业流通事务支出(项):支出决算数为3.00万元，比上年决算增加3.00万元，增长100.00%,主要原因是：本年增加</w:t>
      </w:r>
      <w:r>
        <w:rPr>
          <w:rFonts w:hint="eastAsia" w:ascii="仿宋_GB2312" w:hAnsi="仿宋_GB2312" w:eastAsia="仿宋_GB2312"/>
          <w:b w:val="0"/>
          <w:sz w:val="32"/>
          <w:lang w:eastAsia="zh-CN"/>
        </w:rPr>
        <w:t>AK</w:t>
      </w:r>
      <w:r>
        <w:rPr>
          <w:rFonts w:ascii="仿宋_GB2312" w:hAnsi="仿宋_GB2312" w:eastAsia="仿宋_GB2312"/>
          <w:b w:val="0"/>
          <w:sz w:val="32"/>
        </w:rPr>
        <w:t>替代采购计划项目。</w:t>
      </w:r>
    </w:p>
    <w:p w14:paraId="5CCCEE4A">
      <w:pPr>
        <w:spacing w:line="580" w:lineRule="exact"/>
        <w:ind w:firstLine="640"/>
        <w:jc w:val="both"/>
      </w:pPr>
      <w:r>
        <w:rPr>
          <w:rFonts w:ascii="仿宋_GB2312" w:hAnsi="仿宋_GB2312" w:eastAsia="仿宋_GB2312"/>
          <w:b w:val="0"/>
          <w:sz w:val="32"/>
        </w:rPr>
        <w:t>11.住房保障支出(类)住房改革支出(款)住房公积金(项):支出决算数为29.44万元，比上年决算增加1.09万元，增长3.84%,主要原因是：本年在职人员工资基数调增，公积金缴费基数上涨，相应支出增加。</w:t>
      </w:r>
    </w:p>
    <w:p w14:paraId="2A720AFB">
      <w:pPr>
        <w:spacing w:line="580" w:lineRule="exact"/>
        <w:ind w:firstLine="640"/>
        <w:jc w:val="both"/>
      </w:pPr>
      <w:r>
        <w:rPr>
          <w:rFonts w:ascii="仿宋_GB2312" w:hAnsi="仿宋_GB2312" w:eastAsia="仿宋_GB2312"/>
          <w:b w:val="0"/>
          <w:sz w:val="32"/>
        </w:rPr>
        <w:t>12.其他支出(类)其他支出(款)其他支出(项):支出决算数为5.25万元，比上年决算减少8.89万元，下降62.87%,主要原因是：本年减少为民办实事经费。</w:t>
      </w:r>
    </w:p>
    <w:p w14:paraId="049C576E">
      <w:pPr>
        <w:spacing w:line="640" w:lineRule="exact"/>
        <w:ind w:firstLine="640"/>
        <w:jc w:val="both"/>
        <w:outlineLvl w:val="2"/>
      </w:pPr>
      <w:r>
        <w:rPr>
          <w:rFonts w:ascii="黑体" w:hAnsi="黑体" w:eastAsia="黑体"/>
          <w:sz w:val="32"/>
        </w:rPr>
        <w:t>六、一般公共预算财政拨款基本支出决算情况说明</w:t>
      </w:r>
    </w:p>
    <w:p w14:paraId="25FEB469">
      <w:pPr>
        <w:spacing w:line="580" w:lineRule="exact"/>
        <w:ind w:firstLine="640"/>
        <w:jc w:val="both"/>
      </w:pPr>
      <w:r>
        <w:rPr>
          <w:rFonts w:ascii="仿宋_GB2312" w:hAnsi="仿宋_GB2312" w:eastAsia="仿宋_GB2312"/>
          <w:b w:val="0"/>
          <w:sz w:val="32"/>
        </w:rPr>
        <w:t>2024年度一般公共预算财政拨款基本支出470.99万元，其中：</w:t>
      </w:r>
      <w:r>
        <w:rPr>
          <w:rFonts w:ascii="仿宋_GB2312" w:hAnsi="仿宋_GB2312" w:eastAsia="仿宋_GB2312"/>
          <w:b/>
          <w:sz w:val="32"/>
        </w:rPr>
        <w:t>人员经费432.39万元，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离休费、退休费、奖励金。</w:t>
      </w:r>
    </w:p>
    <w:p w14:paraId="47E220A9">
      <w:pPr>
        <w:spacing w:line="580" w:lineRule="exact"/>
        <w:ind w:firstLine="640"/>
        <w:jc w:val="both"/>
      </w:pPr>
      <w:r>
        <w:rPr>
          <w:rFonts w:ascii="仿宋_GB2312" w:hAnsi="仿宋_GB2312" w:eastAsia="仿宋_GB2312"/>
          <w:b/>
          <w:sz w:val="32"/>
        </w:rPr>
        <w:t>公用经费38.60万元，</w:t>
      </w:r>
      <w:r>
        <w:rPr>
          <w:rFonts w:ascii="仿宋_GB2312" w:hAnsi="仿宋_GB2312" w:eastAsia="仿宋_GB2312"/>
          <w:b w:val="0"/>
          <w:sz w:val="32"/>
        </w:rPr>
        <w:t>包括：办公费、水费、电费、邮电费、取暖费、差旅费、培训费、公务接待费、委托业务费、工会经费、福利费、公务用车运行维护费、其他商品和服务支出、办公设备购置。</w:t>
      </w:r>
    </w:p>
    <w:p w14:paraId="40E6D3C1">
      <w:pPr>
        <w:spacing w:line="640" w:lineRule="exact"/>
        <w:ind w:firstLine="640"/>
        <w:jc w:val="both"/>
        <w:outlineLvl w:val="2"/>
      </w:pPr>
      <w:r>
        <w:rPr>
          <w:rFonts w:ascii="黑体" w:hAnsi="黑体" w:eastAsia="黑体"/>
          <w:sz w:val="32"/>
        </w:rPr>
        <w:t>七、政府性基金预算财政拨款收入支出决算情况说明</w:t>
      </w:r>
    </w:p>
    <w:p w14:paraId="620EC5F2">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33633117">
      <w:pPr>
        <w:spacing w:line="640" w:lineRule="exact"/>
        <w:ind w:firstLine="640"/>
        <w:jc w:val="both"/>
        <w:outlineLvl w:val="2"/>
      </w:pPr>
      <w:r>
        <w:rPr>
          <w:rFonts w:ascii="黑体" w:hAnsi="黑体" w:eastAsia="黑体"/>
          <w:sz w:val="32"/>
        </w:rPr>
        <w:t>八、国有资本经营预算财政拨款收入支出决算情况说明</w:t>
      </w:r>
    </w:p>
    <w:p w14:paraId="456AB3C6">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633E1AC8">
      <w:pPr>
        <w:spacing w:line="640" w:lineRule="exact"/>
        <w:ind w:firstLine="640"/>
        <w:jc w:val="both"/>
        <w:outlineLvl w:val="2"/>
      </w:pPr>
      <w:r>
        <w:rPr>
          <w:rFonts w:ascii="黑体" w:hAnsi="黑体" w:eastAsia="黑体"/>
          <w:sz w:val="32"/>
        </w:rPr>
        <w:t>九、财政拨款“三公”经费支出决算情况说明</w:t>
      </w:r>
    </w:p>
    <w:p w14:paraId="1B11F3B8">
      <w:pPr>
        <w:spacing w:line="580" w:lineRule="exact"/>
        <w:ind w:firstLine="640"/>
        <w:jc w:val="both"/>
      </w:pPr>
      <w:r>
        <w:rPr>
          <w:rFonts w:ascii="仿宋_GB2312" w:hAnsi="仿宋_GB2312" w:eastAsia="仿宋_GB2312"/>
          <w:b/>
          <w:sz w:val="32"/>
        </w:rPr>
        <w:t>2024年度财政拨款“三公”经费支出3.03万元，</w:t>
      </w:r>
      <w:r>
        <w:rPr>
          <w:rFonts w:ascii="仿宋_GB2312" w:hAnsi="仿宋_GB2312" w:eastAsia="仿宋_GB2312"/>
          <w:b w:val="0"/>
          <w:sz w:val="32"/>
        </w:rPr>
        <w:t>比上年增加0.81万元，增长36.49%，主要原因是：本年因业务需求，用车次数增加，燃油费增加，导致公务用车运行维护费较上年增加。其中：因公出国（境）费支出0.00万元，占0.00%，比上年增加0.00万元，增长0.00%，主要原因是：2023年与2024年均未安排因公出国（境）费支出。公务用车购置及运行维护费支出2.84万元，占93.73%，比上年增加0.84万元，增长42.00%，主要原因是：本年因业务需求，用车次数增加，燃油费增加，导致公务用车运行维护费较上年增加。公务接待费支出0.19万元，占6.27%，比上年减少0.03万元，下降13.64%，主要原因是：严格落实中央八项规定精神，厉行节约，减少公务接待费。</w:t>
      </w:r>
    </w:p>
    <w:p w14:paraId="56661E25">
      <w:pPr>
        <w:spacing w:line="580" w:lineRule="exact"/>
        <w:ind w:firstLine="640"/>
        <w:jc w:val="both"/>
      </w:pPr>
      <w:r>
        <w:rPr>
          <w:rFonts w:ascii="仿宋_GB2312" w:hAnsi="仿宋_GB2312" w:eastAsia="仿宋_GB2312"/>
          <w:b/>
          <w:sz w:val="32"/>
        </w:rPr>
        <w:t>具体情况如下：</w:t>
      </w:r>
    </w:p>
    <w:p w14:paraId="1FDEB636">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69FFBF8F">
      <w:pPr>
        <w:spacing w:line="580" w:lineRule="exact"/>
        <w:ind w:firstLine="640"/>
        <w:jc w:val="both"/>
      </w:pPr>
      <w:r>
        <w:rPr>
          <w:rFonts w:ascii="仿宋_GB2312" w:hAnsi="仿宋_GB2312" w:eastAsia="仿宋_GB2312"/>
          <w:b w:val="0"/>
          <w:sz w:val="32"/>
        </w:rPr>
        <w:t>公务用车购置及运行维护费2.84万元，其中：公务用车购置费0.00万元，公务用车运行维护费2.84万元。公务用车运行维护费开支内容包括车辆加油费、维修费、保险费、审车费、过路费等。公务用车购置数0辆，公务用车保有量2辆。国有资产占用情况中固定资产车辆2辆，与公务用车保有量差异原因是：本单位固定资产车辆与公务用车保有量一致无差异。</w:t>
      </w:r>
    </w:p>
    <w:p w14:paraId="5E027EB3">
      <w:pPr>
        <w:spacing w:line="580" w:lineRule="exact"/>
        <w:ind w:firstLine="640"/>
        <w:jc w:val="both"/>
      </w:pPr>
      <w:r>
        <w:rPr>
          <w:rFonts w:ascii="仿宋_GB2312" w:hAnsi="仿宋_GB2312" w:eastAsia="仿宋_GB2312"/>
          <w:b w:val="0"/>
          <w:sz w:val="32"/>
        </w:rPr>
        <w:t>公务接待费0.19万元，开支内容包括接待上级领导调研产生的就餐费。单位全年安排的国内公务接待4批次，47人次。</w:t>
      </w:r>
    </w:p>
    <w:p w14:paraId="1F41FF17">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3.03万元，决算数3.03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2.84万元，决算数2.84万元，预决算差异率0.00%，主要原因是：严格按照预算执行，预决算无差异。公务接待费全年预算数0.19万元，决算数0.19万元，预决算差异率0.00%，主要原因是：严格按照预算执行，预决算无差异。</w:t>
      </w:r>
    </w:p>
    <w:p w14:paraId="4693ECB8">
      <w:pPr>
        <w:spacing w:line="640" w:lineRule="exact"/>
        <w:ind w:firstLine="640"/>
        <w:jc w:val="both"/>
        <w:outlineLvl w:val="2"/>
      </w:pPr>
      <w:r>
        <w:rPr>
          <w:rFonts w:ascii="黑体" w:hAnsi="黑体" w:eastAsia="黑体"/>
          <w:sz w:val="32"/>
        </w:rPr>
        <w:t>十、其他重要事项的情况说明</w:t>
      </w:r>
    </w:p>
    <w:p w14:paraId="3BAFC062">
      <w:pPr>
        <w:spacing w:line="640" w:lineRule="exact"/>
        <w:ind w:firstLine="640"/>
        <w:jc w:val="both"/>
        <w:outlineLvl w:val="3"/>
      </w:pPr>
      <w:r>
        <w:rPr>
          <w:rFonts w:ascii="楷体_GB2312" w:hAnsi="楷体_GB2312" w:eastAsia="楷体_GB2312"/>
          <w:b/>
          <w:sz w:val="32"/>
        </w:rPr>
        <w:t>（一）机关运行经费及公用经费支出情况</w:t>
      </w:r>
    </w:p>
    <w:p w14:paraId="2749D7E2">
      <w:pPr>
        <w:spacing w:line="580" w:lineRule="exact"/>
        <w:ind w:firstLine="640"/>
        <w:jc w:val="both"/>
      </w:pPr>
      <w:r>
        <w:rPr>
          <w:rFonts w:ascii="仿宋_GB2312" w:hAnsi="仿宋_GB2312" w:eastAsia="仿宋_GB2312"/>
          <w:b w:val="0"/>
          <w:sz w:val="32"/>
        </w:rPr>
        <w:t>2024年度昌吉回族自治州供销社（行政单位和参照公务员法管理事业单位）机关运行经费支出38.60万元，比上年减少13.67万元，下降26.15%，主要原因是：本年减少办公经费，导致机关运行经费减少。</w:t>
      </w:r>
    </w:p>
    <w:p w14:paraId="09B4037C">
      <w:pPr>
        <w:spacing w:line="640" w:lineRule="exact"/>
        <w:ind w:firstLine="640"/>
        <w:jc w:val="both"/>
        <w:outlineLvl w:val="3"/>
      </w:pPr>
      <w:r>
        <w:rPr>
          <w:rFonts w:ascii="楷体_GB2312" w:hAnsi="楷体_GB2312" w:eastAsia="楷体_GB2312"/>
          <w:b/>
          <w:sz w:val="32"/>
        </w:rPr>
        <w:t>（二）政府采购情况</w:t>
      </w:r>
    </w:p>
    <w:p w14:paraId="66952EB0">
      <w:pPr>
        <w:spacing w:line="580" w:lineRule="exact"/>
        <w:ind w:firstLine="640"/>
        <w:jc w:val="both"/>
      </w:pPr>
      <w:r>
        <w:rPr>
          <w:rFonts w:ascii="仿宋_GB2312" w:hAnsi="仿宋_GB2312" w:eastAsia="仿宋_GB2312"/>
          <w:b w:val="0"/>
          <w:sz w:val="32"/>
        </w:rPr>
        <w:t>2024年度政府采购支出总额18.98万元，其中：政府采购货物支出12.88万元、政府采购工程支出0.00万元、政府采购服务支出6.10万元。</w:t>
      </w:r>
    </w:p>
    <w:p w14:paraId="68AD6EC2">
      <w:pPr>
        <w:spacing w:line="580" w:lineRule="exact"/>
        <w:ind w:firstLine="640"/>
        <w:jc w:val="both"/>
      </w:pPr>
      <w:r>
        <w:rPr>
          <w:rFonts w:ascii="仿宋_GB2312" w:hAnsi="仿宋_GB2312" w:eastAsia="仿宋_GB2312"/>
          <w:b w:val="0"/>
          <w:sz w:val="32"/>
        </w:rPr>
        <w:t>授予中小企业合同金额18.98万元，占政府采购支出总额的100.00%，其中：授予小微企业合同金额18.98万元，占政府采购支出总额的100.00%。</w:t>
      </w:r>
    </w:p>
    <w:p w14:paraId="6B1EE122">
      <w:pPr>
        <w:spacing w:line="640" w:lineRule="exact"/>
        <w:ind w:firstLine="640"/>
        <w:jc w:val="both"/>
        <w:outlineLvl w:val="3"/>
      </w:pPr>
      <w:r>
        <w:rPr>
          <w:rFonts w:ascii="楷体_GB2312" w:hAnsi="楷体_GB2312" w:eastAsia="楷体_GB2312"/>
          <w:b/>
          <w:sz w:val="32"/>
        </w:rPr>
        <w:t>（三）国有资产占用情况说明</w:t>
      </w:r>
    </w:p>
    <w:p w14:paraId="16F7B5DF">
      <w:pPr>
        <w:spacing w:line="580" w:lineRule="exact"/>
        <w:ind w:firstLine="640"/>
        <w:jc w:val="both"/>
      </w:pPr>
      <w:r>
        <w:rPr>
          <w:rFonts w:ascii="仿宋_GB2312" w:hAnsi="仿宋_GB2312" w:eastAsia="仿宋_GB2312"/>
          <w:b w:val="0"/>
          <w:sz w:val="32"/>
        </w:rPr>
        <w:t>截至2024年12月31日，房屋1,860.00平方米，价值192.34万元。车辆2辆，价值37.77万元，其中：副部（省）级及以上领导用车0辆、主要负责人用车0辆、机要通信用车0辆、应急保障用车0辆、执法执勤用车0辆、特种专业技术用车0辆、离退休干部服务用车0辆、其他用车2辆，其他用车主要是：一般公务用车。单价100万元（含）以上设备（不含车辆）0台（套）。</w:t>
      </w:r>
    </w:p>
    <w:p w14:paraId="43188B8A">
      <w:pPr>
        <w:spacing w:line="640" w:lineRule="exact"/>
        <w:ind w:firstLine="640"/>
        <w:jc w:val="both"/>
        <w:outlineLvl w:val="2"/>
      </w:pPr>
      <w:r>
        <w:rPr>
          <w:rFonts w:ascii="黑体" w:hAnsi="黑体" w:eastAsia="黑体"/>
          <w:sz w:val="32"/>
        </w:rPr>
        <w:t>十一、预算绩效的情况说明</w:t>
      </w:r>
    </w:p>
    <w:p w14:paraId="516A7452">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618.87万元，实际执行总额586.16万元；预算绩效评价项目2个，全年预算数109.90万元，全年执行数109.90万元。预算绩效管理取得的成效：我单位2024年度部门整体支出绩效自评综合得分98.57分，评价结果为“优”。我单位2024年部门履职效果良好，主要体现在：2024年，昌吉州供销社在州党委、州人民政府的坚强领导下，在自治区供销社的精心指导下，以习近平新时代中国特色社会主义思想为指导，深入贯彻落实党的二十届三中全会精神、自治区党委十届十二次全会精神、自治州党委十二届九次全会和中央、自治区党委、州党委农村工作会议精神，以持续深化综合改革为主线，不断健全基层组织、拓展服务领域、提升服务能力，全力推进供销事业高质量发展，圆满完成了年初确定的各项目标任务。2024年，全州供销系统实现销售总额70.69亿元，全口径利润总额1.91亿元。通过联合合作、项目扶持、盘活资产等方式，打造高质量基层社2个，新建农村供销综合服务社19个，改造农村供销综合服务社10个，不断拓展服务领域，充实服务功能，提升综合实力。社有企业通过为基层社供应平价化肥、争取项目、资金扶持、技术指导等方式，帮带基层社推进高质量发展，昌农农资公司向广东地基层社供应平价化肥1000余吨，玛纳斯新玛农资公司向包家店基层社提供平价生物肥料10吨，协调林业技术人员对30亩果园开展技术指导等服务。以乡镇基层社和农村供销综合服务社为依托，持续开展“耕、种、管、收、储、加、销”全链条服务。全系统开展农业生产社会化服务规模达335.72万亩次。依托356家农资经营网点和21家农资配送中心，构建州、县、乡三级农资供应体系。提升改造3家县域农资配送中心，新建5家农资经营网点，4个县（市）供销社成立农资联盟，开展农资集采集配、集采分销。发现的问题及原因：一是社有企业经营存在诸多问题。选人用人渠道较窄，人才匮乏，管理层绩效管理办法还未全面推行。社有企业底子薄、基础差，融资难、市场竞争力不强。二是农产品流通渠道不畅，上下贯通的供应链平台不健全，疆外市场开拓乏力。三是基层供销社和农村供销综合服务社开放办社占比过高，县、乡、村三级供销社联合与合作连接机制不紧密，宏观调控能力弱。下一步改进措施：（一）围绕“供”的方面重点做好三件事。一是保障农业生产物资供应。二是组建农资销售联盟。三是逐步扩大社有企业经营领域。（二）围绕“销”的方面重点做五件事。一是建立农产品销售实体化运营平台。二是积极争取援疆政策支持。三是畅通供销援疆销售渠道。四是启动“供销便民集市”活动。五是加强昌品出疆推介工作。（三）围绕“改”的方面重点做好五件事。一是推进供销社综合改革试点工作。二是探索乡镇基层社实体化建设。三是健全完善社有企业内控制度体系。四是培育发展全资控股企业。五是推动重点社有企业改革。具体附整体支出绩效自评表，项目支出绩效自评表和评价报告。</w:t>
      </w:r>
    </w:p>
    <w:p w14:paraId="1F9A296B">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38A9E228">
        <w:tc>
          <w:tcPr>
            <w:tcW w:w="8847" w:type="dxa"/>
            <w:gridSpan w:val="9"/>
            <w:vAlign w:val="center"/>
          </w:tcPr>
          <w:p w14:paraId="30A897DA">
            <w:pPr>
              <w:jc w:val="center"/>
            </w:pPr>
            <w:r>
              <w:rPr>
                <w:rFonts w:ascii="宋体" w:hAnsi="宋体" w:eastAsia="宋体"/>
                <w:sz w:val="24"/>
              </w:rPr>
              <w:t>单位整体支出绩效自评表</w:t>
            </w:r>
          </w:p>
        </w:tc>
      </w:tr>
      <w:tr w14:paraId="5C81F069">
        <w:tblPrEx>
          <w:tblCellMar>
            <w:top w:w="0" w:type="dxa"/>
            <w:left w:w="108" w:type="dxa"/>
            <w:bottom w:w="0" w:type="dxa"/>
            <w:right w:w="108" w:type="dxa"/>
          </w:tblCellMar>
        </w:tblPrEx>
        <w:tc>
          <w:tcPr>
            <w:tcW w:w="8847" w:type="dxa"/>
            <w:gridSpan w:val="9"/>
            <w:vAlign w:val="center"/>
          </w:tcPr>
          <w:p w14:paraId="1795A8C8">
            <w:pPr>
              <w:jc w:val="center"/>
            </w:pPr>
            <w:r>
              <w:rPr>
                <w:rFonts w:ascii="宋体" w:hAnsi="宋体" w:eastAsia="宋体"/>
                <w:sz w:val="24"/>
              </w:rPr>
              <w:t>（2024年度）</w:t>
            </w:r>
          </w:p>
        </w:tc>
      </w:tr>
      <w:tr w14:paraId="6184782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89E623">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5DA7EA69">
            <w:pPr>
              <w:jc w:val="center"/>
            </w:pPr>
            <w:r>
              <w:rPr>
                <w:rFonts w:ascii="宋体" w:hAnsi="宋体" w:eastAsia="宋体"/>
                <w:sz w:val="16"/>
              </w:rPr>
              <w:t>昌吉回族自治州供销社</w:t>
            </w:r>
          </w:p>
        </w:tc>
      </w:tr>
      <w:tr w14:paraId="763E84F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DC9FF97">
            <w:pPr>
              <w:jc w:val="center"/>
            </w:pPr>
            <w:r>
              <w:rPr>
                <w:rFonts w:ascii="宋体" w:hAnsi="宋体" w:eastAsia="宋体"/>
                <w:sz w:val="16"/>
              </w:rPr>
              <w:t>部门资金（万元）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434C41">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475B10">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D901E7">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DCA649">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8140AD">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ADDFBD">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1299C7">
            <w:pPr>
              <w:jc w:val="center"/>
            </w:pPr>
            <w:r>
              <w:rPr>
                <w:rFonts w:ascii="宋体" w:hAnsi="宋体" w:eastAsia="宋体"/>
                <w:sz w:val="16"/>
              </w:rPr>
              <w:t>得分</w:t>
            </w:r>
          </w:p>
        </w:tc>
      </w:tr>
      <w:tr w14:paraId="6C37A40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578E6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7AAEF3">
            <w:pPr>
              <w:jc w:val="center"/>
            </w:pPr>
            <w:r>
              <w:rPr>
                <w:rFonts w:ascii="宋体" w:hAnsi="宋体" w:eastAsia="宋体"/>
                <w:sz w:val="16"/>
              </w:rPr>
              <w:t>上级资金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916F0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5F481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AA0BF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B64A1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53400E">
            <w:pPr>
              <w:jc w:val="center"/>
            </w:pPr>
            <w:r>
              <w:rPr>
                <w:rFonts w:ascii="宋体" w:hAnsi="宋体" w:eastAsia="宋体"/>
                <w:sz w:val="16"/>
              </w:rPr>
              <w:t>94.71%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7E7456">
            <w:pPr>
              <w:jc w:val="center"/>
            </w:pPr>
            <w:r>
              <w:rPr>
                <w:rFonts w:ascii="宋体" w:hAnsi="宋体" w:eastAsia="宋体"/>
                <w:sz w:val="16"/>
              </w:rPr>
              <w:t>9.47</w:t>
            </w:r>
          </w:p>
        </w:tc>
      </w:tr>
      <w:tr w14:paraId="25689A7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662A73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D510B3">
            <w:pPr>
              <w:jc w:val="center"/>
            </w:pPr>
            <w:r>
              <w:rPr>
                <w:rFonts w:ascii="宋体" w:hAnsi="宋体" w:eastAsia="宋体"/>
                <w:sz w:val="16"/>
              </w:rPr>
              <w:t>本级资金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6071FF">
            <w:pPr>
              <w:jc w:val="center"/>
            </w:pPr>
            <w:r>
              <w:rPr>
                <w:rFonts w:ascii="宋体" w:hAnsi="宋体" w:eastAsia="宋体"/>
                <w:sz w:val="16"/>
              </w:rPr>
              <w:t>406.73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369136">
            <w:pPr>
              <w:jc w:val="center"/>
            </w:pPr>
            <w:r>
              <w:rPr>
                <w:rFonts w:ascii="宋体" w:hAnsi="宋体" w:eastAsia="宋体"/>
                <w:sz w:val="16"/>
              </w:rPr>
              <w:t>479.24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D6D66D">
            <w:pPr>
              <w:jc w:val="center"/>
            </w:pPr>
            <w:r>
              <w:rPr>
                <w:rFonts w:ascii="宋体" w:hAnsi="宋体" w:eastAsia="宋体"/>
                <w:sz w:val="16"/>
              </w:rPr>
              <w:t>479.24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4A68A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7538A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5D28BC">
            <w:pPr>
              <w:jc w:val="center"/>
            </w:pPr>
            <w:r>
              <w:rPr>
                <w:rFonts w:ascii="宋体" w:hAnsi="宋体" w:eastAsia="宋体"/>
                <w:sz w:val="16"/>
              </w:rPr>
              <w:t>-</w:t>
            </w:r>
          </w:p>
        </w:tc>
      </w:tr>
      <w:tr w14:paraId="3C8FB39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B7EF04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838E76">
            <w:pPr>
              <w:jc w:val="center"/>
            </w:pPr>
            <w:r>
              <w:rPr>
                <w:rFonts w:ascii="宋体" w:hAnsi="宋体" w:eastAsia="宋体"/>
                <w:sz w:val="16"/>
              </w:rPr>
              <w:t>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6CC22D">
            <w:pPr>
              <w:jc w:val="center"/>
            </w:pPr>
            <w:r>
              <w:rPr>
                <w:rFonts w:ascii="宋体" w:hAnsi="宋体" w:eastAsia="宋体"/>
                <w:sz w:val="16"/>
              </w:rPr>
              <w:t>164.26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B53A50">
            <w:pPr>
              <w:jc w:val="center"/>
            </w:pPr>
            <w:r>
              <w:rPr>
                <w:rFonts w:ascii="宋体" w:hAnsi="宋体" w:eastAsia="宋体"/>
                <w:sz w:val="16"/>
              </w:rPr>
              <w:t>139.63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B80122">
            <w:pPr>
              <w:jc w:val="center"/>
            </w:pPr>
            <w:r>
              <w:rPr>
                <w:rFonts w:ascii="宋体" w:hAnsi="宋体" w:eastAsia="宋体"/>
                <w:sz w:val="16"/>
              </w:rPr>
              <w:t>106.92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FAEBE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B4379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701E91">
            <w:pPr>
              <w:jc w:val="center"/>
            </w:pPr>
            <w:r>
              <w:rPr>
                <w:rFonts w:ascii="宋体" w:hAnsi="宋体" w:eastAsia="宋体"/>
                <w:sz w:val="16"/>
              </w:rPr>
              <w:t>-</w:t>
            </w:r>
          </w:p>
        </w:tc>
      </w:tr>
      <w:tr w14:paraId="1369931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5A7A5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7AD050">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3774B9">
            <w:pPr>
              <w:jc w:val="center"/>
            </w:pPr>
            <w:r>
              <w:rPr>
                <w:rFonts w:ascii="宋体" w:hAnsi="宋体" w:eastAsia="宋体"/>
                <w:sz w:val="16"/>
              </w:rPr>
              <w:t>570.99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03931F">
            <w:pPr>
              <w:jc w:val="center"/>
            </w:pPr>
            <w:r>
              <w:rPr>
                <w:rFonts w:ascii="宋体" w:hAnsi="宋体" w:eastAsia="宋体"/>
                <w:sz w:val="16"/>
              </w:rPr>
              <w:t>618.87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CF71C8">
            <w:pPr>
              <w:jc w:val="center"/>
            </w:pPr>
            <w:r>
              <w:rPr>
                <w:rFonts w:ascii="宋体" w:hAnsi="宋体" w:eastAsia="宋体"/>
                <w:sz w:val="16"/>
              </w:rPr>
              <w:t>586.16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A6151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1468A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2F347F">
            <w:pPr>
              <w:jc w:val="center"/>
            </w:pPr>
            <w:r>
              <w:rPr>
                <w:rFonts w:ascii="宋体" w:hAnsi="宋体" w:eastAsia="宋体"/>
                <w:sz w:val="16"/>
              </w:rPr>
              <w:t>-</w:t>
            </w:r>
          </w:p>
        </w:tc>
      </w:tr>
      <w:tr w14:paraId="6C27AA5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940EFF0">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D25173B">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ED26754">
            <w:pPr>
              <w:jc w:val="center"/>
            </w:pPr>
            <w:r>
              <w:rPr>
                <w:rFonts w:ascii="宋体" w:hAnsi="宋体" w:eastAsia="宋体"/>
                <w:sz w:val="16"/>
              </w:rPr>
              <w:t>实际完成情况</w:t>
            </w:r>
          </w:p>
        </w:tc>
      </w:tr>
      <w:tr w14:paraId="107D79E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24B227"/>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E44BC93">
            <w:pPr>
              <w:jc w:val="both"/>
            </w:pPr>
            <w:r>
              <w:rPr>
                <w:rFonts w:ascii="宋体" w:hAnsi="宋体" w:eastAsia="宋体"/>
                <w:sz w:val="16"/>
              </w:rPr>
              <w:t>重点围绕“农业社会化服务、基层组织建设、农产品销售、冷链仓储、物流配送”等五个方面，按照双线运行机制的要求，强化社有企业发展，不断拓展服务领域，提升服务质量，积极构建服务农民生产生活的综合平台。</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0137642">
            <w:pPr>
              <w:jc w:val="both"/>
            </w:pPr>
            <w:r>
              <w:rPr>
                <w:rFonts w:ascii="宋体" w:hAnsi="宋体" w:eastAsia="宋体"/>
                <w:sz w:val="16"/>
              </w:rPr>
              <w:t>2024 年我单位全年预算数为618.87万元，全年执行数为586.16万元，总预算执行率为94.71%。2024 年我单位完成以下工作内容：1.全系统全年销售化肥57.91万吨；2.新建农村基层服务社19个；3.打造高质量发展基层社2个；4.落实社有企业帮带基层社项目2个；5.农业社会化服务335.72万亩次；6.全系统销售总额70.69亿元；7.全口径利润总额1.91亿元。通过以上工作的实施，达到全力满足全州农业生产需要、农资保供、强化基层组织建设、社有企业帮带基层社发展、为农服务能力提升的目标。</w:t>
            </w:r>
          </w:p>
        </w:tc>
      </w:tr>
      <w:tr w14:paraId="138C64A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3493D5">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1868DD">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B73387">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2294F6">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ABDE83">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F67087">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651DFE">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C0B661">
            <w:pPr>
              <w:jc w:val="center"/>
            </w:pPr>
            <w:r>
              <w:rPr>
                <w:rFonts w:ascii="宋体" w:hAnsi="宋体" w:eastAsia="宋体"/>
                <w:sz w:val="16"/>
              </w:rPr>
              <w:t>得分</w:t>
            </w:r>
          </w:p>
        </w:tc>
      </w:tr>
      <w:tr w14:paraId="28FB6AE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A9EA196">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BEA0EF8">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B7D3F0">
            <w:pPr>
              <w:jc w:val="center"/>
            </w:pPr>
            <w:r>
              <w:rPr>
                <w:rFonts w:ascii="宋体" w:hAnsi="宋体" w:eastAsia="宋体"/>
                <w:sz w:val="16"/>
              </w:rPr>
              <w:t>全系统全年销售化肥量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36683D">
            <w:pPr>
              <w:jc w:val="center"/>
            </w:pPr>
            <w:r>
              <w:rPr>
                <w:rFonts w:ascii="宋体" w:hAnsi="宋体" w:eastAsia="宋体"/>
                <w:sz w:val="16"/>
              </w:rPr>
              <w:t>&gt;=30万吨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AD4B01">
            <w:pPr>
              <w:jc w:val="center"/>
            </w:pPr>
            <w:r>
              <w:rPr>
                <w:rFonts w:ascii="宋体" w:hAnsi="宋体" w:eastAsia="宋体"/>
                <w:sz w:val="16"/>
              </w:rPr>
              <w:t>昌吉州供销社2024年工作思路工作目标及重点任务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F8E51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867E6F">
            <w:pPr>
              <w:jc w:val="center"/>
            </w:pPr>
            <w:r>
              <w:rPr>
                <w:rFonts w:ascii="宋体" w:hAnsi="宋体" w:eastAsia="宋体"/>
                <w:sz w:val="16"/>
              </w:rPr>
              <w:t>57.91万吨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61C549">
            <w:pPr>
              <w:jc w:val="center"/>
            </w:pPr>
            <w:r>
              <w:rPr>
                <w:rFonts w:ascii="宋体" w:hAnsi="宋体" w:eastAsia="宋体"/>
                <w:sz w:val="16"/>
              </w:rPr>
              <w:t>10</w:t>
            </w:r>
          </w:p>
        </w:tc>
      </w:tr>
      <w:tr w14:paraId="06D0A6E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F91EB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034E7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6CEA54">
            <w:pPr>
              <w:jc w:val="center"/>
            </w:pPr>
            <w:r>
              <w:rPr>
                <w:rFonts w:ascii="宋体" w:hAnsi="宋体" w:eastAsia="宋体"/>
                <w:sz w:val="16"/>
              </w:rPr>
              <w:t>新建农村基层服务社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6989EF">
            <w:pPr>
              <w:jc w:val="center"/>
            </w:pPr>
            <w:r>
              <w:rPr>
                <w:rFonts w:ascii="宋体" w:hAnsi="宋体" w:eastAsia="宋体"/>
                <w:sz w:val="16"/>
              </w:rPr>
              <w:t>&gt;=19个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1D9AAA">
            <w:pPr>
              <w:jc w:val="center"/>
            </w:pPr>
            <w:r>
              <w:rPr>
                <w:rFonts w:ascii="宋体" w:hAnsi="宋体" w:eastAsia="宋体"/>
                <w:sz w:val="16"/>
              </w:rPr>
              <w:t>昌吉州供销社2024年工作思路工作目标及重点任务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0432E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347B08">
            <w:pPr>
              <w:jc w:val="center"/>
            </w:pPr>
            <w:r>
              <w:rPr>
                <w:rFonts w:ascii="宋体" w:hAnsi="宋体" w:eastAsia="宋体"/>
                <w:sz w:val="16"/>
              </w:rPr>
              <w:t>19个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B5EDAE">
            <w:pPr>
              <w:jc w:val="center"/>
            </w:pPr>
            <w:r>
              <w:rPr>
                <w:rFonts w:ascii="宋体" w:hAnsi="宋体" w:eastAsia="宋体"/>
                <w:sz w:val="16"/>
              </w:rPr>
              <w:t>10</w:t>
            </w:r>
          </w:p>
        </w:tc>
      </w:tr>
      <w:tr w14:paraId="18A0F51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865D6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AC87B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762991">
            <w:pPr>
              <w:jc w:val="center"/>
            </w:pPr>
            <w:r>
              <w:rPr>
                <w:rFonts w:ascii="宋体" w:hAnsi="宋体" w:eastAsia="宋体"/>
                <w:sz w:val="16"/>
              </w:rPr>
              <w:t>打造高质量发展基层社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C10885">
            <w:pPr>
              <w:jc w:val="center"/>
            </w:pPr>
            <w:r>
              <w:rPr>
                <w:rFonts w:ascii="宋体" w:hAnsi="宋体" w:eastAsia="宋体"/>
                <w:sz w:val="16"/>
              </w:rPr>
              <w:t>&gt;=2个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8C4816">
            <w:pPr>
              <w:jc w:val="center"/>
            </w:pPr>
            <w:r>
              <w:rPr>
                <w:rFonts w:ascii="宋体" w:hAnsi="宋体" w:eastAsia="宋体"/>
                <w:sz w:val="16"/>
              </w:rPr>
              <w:t>昌吉州供销社2024年工作思路工作目标及重点任务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ACD3A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1C71F7">
            <w:pPr>
              <w:jc w:val="center"/>
            </w:pPr>
            <w:r>
              <w:rPr>
                <w:rFonts w:ascii="宋体" w:hAnsi="宋体" w:eastAsia="宋体"/>
                <w:sz w:val="16"/>
              </w:rPr>
              <w: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BCDA53">
            <w:pPr>
              <w:jc w:val="center"/>
            </w:pPr>
            <w:r>
              <w:rPr>
                <w:rFonts w:ascii="宋体" w:hAnsi="宋体" w:eastAsia="宋体"/>
                <w:sz w:val="16"/>
              </w:rPr>
              <w:t>10</w:t>
            </w:r>
          </w:p>
        </w:tc>
      </w:tr>
      <w:tr w14:paraId="027F8D5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526B5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0B41D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E5E73C">
            <w:pPr>
              <w:jc w:val="center"/>
            </w:pPr>
            <w:r>
              <w:rPr>
                <w:rFonts w:ascii="宋体" w:hAnsi="宋体" w:eastAsia="宋体"/>
                <w:sz w:val="16"/>
              </w:rPr>
              <w:t>落实社有企业帮带基层社项目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C7C6CC">
            <w:pPr>
              <w:jc w:val="center"/>
            </w:pPr>
            <w:r>
              <w:rPr>
                <w:rFonts w:ascii="宋体" w:hAnsi="宋体" w:eastAsia="宋体"/>
                <w:sz w:val="16"/>
              </w:rPr>
              <w:t>&gt;=2个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5D2D55">
            <w:pPr>
              <w:jc w:val="center"/>
            </w:pPr>
            <w:r>
              <w:rPr>
                <w:rFonts w:ascii="宋体" w:hAnsi="宋体" w:eastAsia="宋体"/>
                <w:sz w:val="16"/>
              </w:rPr>
              <w:t>昌吉州供销社2024年工作思路工作目标及重点任务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981CD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1AE4A6">
            <w:pPr>
              <w:jc w:val="center"/>
            </w:pPr>
            <w:r>
              <w:rPr>
                <w:rFonts w:ascii="宋体" w:hAnsi="宋体" w:eastAsia="宋体"/>
                <w:sz w:val="16"/>
              </w:rPr>
              <w: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BE5F20">
            <w:pPr>
              <w:jc w:val="center"/>
            </w:pPr>
            <w:r>
              <w:rPr>
                <w:rFonts w:ascii="宋体" w:hAnsi="宋体" w:eastAsia="宋体"/>
                <w:sz w:val="16"/>
              </w:rPr>
              <w:t>10</w:t>
            </w:r>
          </w:p>
        </w:tc>
      </w:tr>
      <w:tr w14:paraId="06EEA53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B9D15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549C4D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57B92E">
            <w:pPr>
              <w:jc w:val="center"/>
            </w:pPr>
            <w:r>
              <w:rPr>
                <w:rFonts w:ascii="宋体" w:hAnsi="宋体" w:eastAsia="宋体"/>
                <w:sz w:val="16"/>
              </w:rPr>
              <w:t>农业社会化服务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601053">
            <w:pPr>
              <w:jc w:val="center"/>
            </w:pPr>
            <w:r>
              <w:rPr>
                <w:rFonts w:ascii="宋体" w:hAnsi="宋体" w:eastAsia="宋体"/>
                <w:sz w:val="16"/>
              </w:rPr>
              <w:t>&gt;=200万亩次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CC4B03">
            <w:pPr>
              <w:jc w:val="center"/>
            </w:pPr>
            <w:r>
              <w:rPr>
                <w:rFonts w:ascii="宋体" w:hAnsi="宋体" w:eastAsia="宋体"/>
                <w:sz w:val="16"/>
              </w:rPr>
              <w:t>昌吉州供销社2024年工作思路工作目标及重点任务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4A4BD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07D293">
            <w:pPr>
              <w:jc w:val="center"/>
            </w:pPr>
            <w:r>
              <w:rPr>
                <w:rFonts w:ascii="宋体" w:hAnsi="宋体" w:eastAsia="宋体"/>
                <w:sz w:val="16"/>
              </w:rPr>
              <w:t>335.72万亩次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9631CD">
            <w:pPr>
              <w:jc w:val="center"/>
            </w:pPr>
            <w:r>
              <w:rPr>
                <w:rFonts w:ascii="宋体" w:hAnsi="宋体" w:eastAsia="宋体"/>
                <w:sz w:val="16"/>
              </w:rPr>
              <w:t>10</w:t>
            </w:r>
          </w:p>
        </w:tc>
      </w:tr>
      <w:tr w14:paraId="0FFE97F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2B6F74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D3599D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844415">
            <w:pPr>
              <w:jc w:val="center"/>
            </w:pPr>
            <w:r>
              <w:rPr>
                <w:rFonts w:ascii="宋体" w:hAnsi="宋体" w:eastAsia="宋体"/>
                <w:sz w:val="16"/>
              </w:rPr>
              <w:t>全系统销售总额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24B154">
            <w:pPr>
              <w:jc w:val="center"/>
            </w:pPr>
            <w:r>
              <w:rPr>
                <w:rFonts w:ascii="宋体" w:hAnsi="宋体" w:eastAsia="宋体"/>
                <w:sz w:val="16"/>
              </w:rPr>
              <w:t>&gt;=60亿元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153E47">
            <w:pPr>
              <w:jc w:val="center"/>
            </w:pPr>
            <w:r>
              <w:rPr>
                <w:rFonts w:ascii="宋体" w:hAnsi="宋体" w:eastAsia="宋体"/>
                <w:sz w:val="16"/>
              </w:rPr>
              <w:t>昌吉州供销社2024年工作思路工作目标及重点任务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6BAE36">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B65F37">
            <w:pPr>
              <w:jc w:val="center"/>
            </w:pPr>
            <w:r>
              <w:rPr>
                <w:rFonts w:ascii="宋体" w:hAnsi="宋体" w:eastAsia="宋体"/>
                <w:sz w:val="16"/>
              </w:rPr>
              <w:t>70.69亿元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B286B1">
            <w:pPr>
              <w:jc w:val="center"/>
            </w:pPr>
            <w:r>
              <w:rPr>
                <w:rFonts w:ascii="宋体" w:hAnsi="宋体" w:eastAsia="宋体"/>
                <w:sz w:val="16"/>
              </w:rPr>
              <w:t>20</w:t>
            </w:r>
          </w:p>
        </w:tc>
      </w:tr>
      <w:tr w14:paraId="42F2639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AB4E4A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01551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BA925A">
            <w:pPr>
              <w:jc w:val="center"/>
            </w:pPr>
            <w:r>
              <w:rPr>
                <w:rFonts w:ascii="宋体" w:hAnsi="宋体" w:eastAsia="宋体"/>
                <w:sz w:val="16"/>
              </w:rPr>
              <w:t>全口径利润总额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4ECF51">
            <w:pPr>
              <w:jc w:val="center"/>
            </w:pPr>
            <w:r>
              <w:rPr>
                <w:rFonts w:ascii="宋体" w:hAnsi="宋体" w:eastAsia="宋体"/>
                <w:sz w:val="16"/>
              </w:rPr>
              <w:t>&gt;=2亿元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5FF9A4">
            <w:pPr>
              <w:jc w:val="center"/>
            </w:pPr>
            <w:r>
              <w:rPr>
                <w:rFonts w:ascii="宋体" w:hAnsi="宋体" w:eastAsia="宋体"/>
                <w:sz w:val="16"/>
              </w:rPr>
              <w:t>昌吉州供销社2024年工作思路工作目标及重点任务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7F1A02">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66143F">
            <w:pPr>
              <w:jc w:val="center"/>
            </w:pPr>
            <w:r>
              <w:rPr>
                <w:rFonts w:ascii="宋体" w:hAnsi="宋体" w:eastAsia="宋体"/>
                <w:sz w:val="16"/>
              </w:rPr>
              <w:t>1.91亿元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5F474D">
            <w:pPr>
              <w:jc w:val="center"/>
            </w:pPr>
            <w:r>
              <w:rPr>
                <w:rFonts w:ascii="宋体" w:hAnsi="宋体" w:eastAsia="宋体"/>
                <w:sz w:val="16"/>
              </w:rPr>
              <w:t>19.1</w:t>
            </w:r>
          </w:p>
        </w:tc>
      </w:tr>
    </w:tbl>
    <w:p w14:paraId="62D14080">
      <w:r>
        <w:br w:type="page"/>
      </w:r>
    </w:p>
    <w:tbl>
      <w:tblPr>
        <w:tblStyle w:val="9"/>
        <w:tblW w:w="0" w:type="auto"/>
        <w:tblInd w:w="0" w:type="dxa"/>
        <w:tblLayout w:type="autofit"/>
        <w:tblCellMar>
          <w:top w:w="0" w:type="dxa"/>
          <w:left w:w="108" w:type="dxa"/>
          <w:bottom w:w="0" w:type="dxa"/>
          <w:right w:w="108" w:type="dxa"/>
        </w:tblCellMar>
      </w:tblPr>
      <w:tblGrid>
        <w:gridCol w:w="629"/>
        <w:gridCol w:w="624"/>
        <w:gridCol w:w="624"/>
        <w:gridCol w:w="629"/>
        <w:gridCol w:w="626"/>
        <w:gridCol w:w="631"/>
        <w:gridCol w:w="631"/>
        <w:gridCol w:w="776"/>
        <w:gridCol w:w="696"/>
        <w:gridCol w:w="624"/>
        <w:gridCol w:w="624"/>
        <w:gridCol w:w="624"/>
        <w:gridCol w:w="625"/>
        <w:gridCol w:w="697"/>
      </w:tblGrid>
      <w:tr w14:paraId="0E50C59E">
        <w:tblPrEx>
          <w:tblCellMar>
            <w:top w:w="0" w:type="dxa"/>
            <w:left w:w="108" w:type="dxa"/>
            <w:bottom w:w="0" w:type="dxa"/>
            <w:right w:w="108" w:type="dxa"/>
          </w:tblCellMar>
        </w:tblPrEx>
        <w:tc>
          <w:tcPr>
            <w:tcW w:w="8848" w:type="dxa"/>
            <w:gridSpan w:val="14"/>
            <w:vAlign w:val="center"/>
          </w:tcPr>
          <w:p w14:paraId="0D92F90E">
            <w:pPr>
              <w:jc w:val="center"/>
            </w:pPr>
            <w:r>
              <w:rPr>
                <w:rFonts w:ascii="宋体" w:hAnsi="宋体" w:eastAsia="宋体"/>
                <w:sz w:val="24"/>
              </w:rPr>
              <w:t>项目支出绩效自评表</w:t>
            </w:r>
          </w:p>
        </w:tc>
      </w:tr>
      <w:tr w14:paraId="66B42F14">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0D53515">
            <w:pPr>
              <w:jc w:val="center"/>
            </w:pPr>
            <w:r>
              <w:rPr>
                <w:rFonts w:ascii="宋体" w:hAnsi="宋体" w:eastAsia="宋体"/>
                <w:sz w:val="24"/>
              </w:rPr>
              <w:t>(2024年度)</w:t>
            </w:r>
          </w:p>
        </w:tc>
      </w:tr>
      <w:tr w14:paraId="75FBB1A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5FC872">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2A060906">
            <w:pPr>
              <w:jc w:val="center"/>
            </w:pPr>
            <w:r>
              <w:rPr>
                <w:rFonts w:ascii="宋体" w:hAnsi="宋体" w:eastAsia="宋体"/>
                <w:sz w:val="16"/>
              </w:rPr>
              <w:t>山西援疆昌吉州名优特农副产品外销平台建设项目</w:t>
            </w:r>
          </w:p>
        </w:tc>
      </w:tr>
      <w:tr w14:paraId="592A43B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E989B8">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FE1182B">
            <w:pPr>
              <w:jc w:val="center"/>
            </w:pPr>
            <w:r>
              <w:rPr>
                <w:rFonts w:ascii="宋体" w:hAnsi="宋体" w:eastAsia="宋体"/>
                <w:sz w:val="16"/>
              </w:rPr>
              <w:t>昌吉回族自治州供销合作社联合社</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80A7C9">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78AAEEC">
            <w:pPr>
              <w:jc w:val="center"/>
            </w:pPr>
            <w:r>
              <w:rPr>
                <w:rFonts w:ascii="宋体" w:hAnsi="宋体" w:eastAsia="宋体"/>
                <w:sz w:val="16"/>
              </w:rPr>
              <w:t>昌吉回族自治州供销社本级</w:t>
            </w:r>
          </w:p>
        </w:tc>
      </w:tr>
      <w:tr w14:paraId="3A9F10A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5D498E">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BA250E">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A4B698">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F8FC62">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12DC64">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2A52AF">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9E6E04">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9718F2">
            <w:pPr>
              <w:jc w:val="center"/>
            </w:pPr>
            <w:r>
              <w:rPr>
                <w:rFonts w:ascii="宋体" w:hAnsi="宋体" w:eastAsia="宋体"/>
                <w:sz w:val="16"/>
              </w:rPr>
              <w:t>得分</w:t>
            </w:r>
          </w:p>
        </w:tc>
      </w:tr>
      <w:tr w14:paraId="64DEEC3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6B38CA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B2B0A3">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DA477F">
            <w:pPr>
              <w:jc w:val="center"/>
            </w:pPr>
            <w:r>
              <w:rPr>
                <w:rFonts w:ascii="宋体" w:hAnsi="宋体" w:eastAsia="宋体"/>
                <w:sz w:val="16"/>
              </w:rPr>
              <w:t>90.00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1F52ED">
            <w:pPr>
              <w:jc w:val="center"/>
            </w:pPr>
            <w:r>
              <w:rPr>
                <w:rFonts w:ascii="宋体" w:hAnsi="宋体" w:eastAsia="宋体"/>
                <w:sz w:val="16"/>
              </w:rPr>
              <w:t>90.00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96ECA7">
            <w:pPr>
              <w:jc w:val="center"/>
            </w:pPr>
            <w:r>
              <w:rPr>
                <w:rFonts w:ascii="宋体" w:hAnsi="宋体" w:eastAsia="宋体"/>
                <w:sz w:val="16"/>
              </w:rPr>
              <w:t>90.00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4E214C">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20F8C5">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2DD1EB">
            <w:pPr>
              <w:jc w:val="center"/>
            </w:pPr>
            <w:r>
              <w:rPr>
                <w:rFonts w:ascii="宋体" w:hAnsi="宋体" w:eastAsia="宋体"/>
                <w:sz w:val="16"/>
              </w:rPr>
              <w:t>10.00</w:t>
            </w:r>
          </w:p>
        </w:tc>
      </w:tr>
      <w:tr w14:paraId="730E328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A67D8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8C91AC">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A8060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7A9E7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2FB50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F817B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3013B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BB2F0D">
            <w:pPr>
              <w:jc w:val="center"/>
            </w:pPr>
            <w:r>
              <w:rPr>
                <w:rFonts w:ascii="宋体" w:hAnsi="宋体" w:eastAsia="宋体"/>
                <w:sz w:val="16"/>
              </w:rPr>
              <w:t>—</w:t>
            </w:r>
          </w:p>
        </w:tc>
      </w:tr>
      <w:tr w14:paraId="0381554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A79C8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F6D3F5">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B0F9C8">
            <w:pPr>
              <w:jc w:val="center"/>
            </w:pPr>
            <w:r>
              <w:rPr>
                <w:rFonts w:ascii="宋体" w:hAnsi="宋体" w:eastAsia="宋体"/>
                <w:sz w:val="16"/>
              </w:rPr>
              <w:t>90.00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203E38">
            <w:pPr>
              <w:jc w:val="center"/>
            </w:pPr>
            <w:r>
              <w:rPr>
                <w:rFonts w:ascii="宋体" w:hAnsi="宋体" w:eastAsia="宋体"/>
                <w:sz w:val="16"/>
              </w:rPr>
              <w:t>90.00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9FCDDA">
            <w:pPr>
              <w:jc w:val="center"/>
            </w:pPr>
            <w:r>
              <w:rPr>
                <w:rFonts w:ascii="宋体" w:hAnsi="宋体" w:eastAsia="宋体"/>
                <w:sz w:val="16"/>
              </w:rPr>
              <w:t>90.00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505992">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B716B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C2630A">
            <w:pPr>
              <w:jc w:val="center"/>
            </w:pPr>
            <w:r>
              <w:rPr>
                <w:rFonts w:ascii="宋体" w:hAnsi="宋体" w:eastAsia="宋体"/>
                <w:sz w:val="16"/>
              </w:rPr>
              <w:t>—</w:t>
            </w:r>
          </w:p>
        </w:tc>
      </w:tr>
      <w:tr w14:paraId="43F009A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83ADB36">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A301BCE">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3131DE9">
            <w:pPr>
              <w:jc w:val="center"/>
            </w:pPr>
            <w:r>
              <w:rPr>
                <w:rFonts w:ascii="宋体" w:hAnsi="宋体" w:eastAsia="宋体"/>
                <w:sz w:val="16"/>
              </w:rPr>
              <w:t>实际完成情况</w:t>
            </w:r>
          </w:p>
        </w:tc>
      </w:tr>
      <w:tr w14:paraId="75912E0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11EB7B1"/>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D3E566B">
            <w:pPr>
              <w:jc w:val="both"/>
            </w:pPr>
            <w:r>
              <w:rPr>
                <w:rFonts w:ascii="宋体" w:hAnsi="宋体" w:eastAsia="宋体"/>
                <w:sz w:val="16"/>
              </w:rPr>
              <w:t>充分发挥山西援疆优势和供销社职能，做大做强昌吉州名特优农副产品销售网络，拓宽山西、昌吉两地农产品双向流通渠道。新建旗舰店4家，一般店3家。</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EEFB50E">
            <w:pPr>
              <w:jc w:val="both"/>
            </w:pPr>
            <w:r>
              <w:rPr>
                <w:rFonts w:ascii="宋体" w:hAnsi="宋体" w:eastAsia="宋体"/>
                <w:sz w:val="16"/>
              </w:rPr>
              <w:t>截至2024年12月31日，该项目实际完成新建旗舰店4家，一般店3家。通过该项目实施，提升了昌吉州名特优农副产品销售网络，促进了山西、昌吉两地农产品双向流通渠道。</w:t>
            </w:r>
          </w:p>
        </w:tc>
      </w:tr>
      <w:tr w14:paraId="50EFD8FD">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00448AC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589E8D">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8688AA">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AE7C68">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77936A">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5BE287">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E5F594">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6C90B8">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6EE57F">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42EE05">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4D80A5">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82383F">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D7CC69">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E0A16E">
            <w:pPr>
              <w:jc w:val="center"/>
            </w:pPr>
            <w:r>
              <w:rPr>
                <w:rFonts w:ascii="宋体" w:hAnsi="宋体" w:eastAsia="宋体"/>
                <w:sz w:val="16"/>
              </w:rPr>
              <w:t>偏差原因分析及改进措施</w:t>
            </w:r>
          </w:p>
        </w:tc>
      </w:tr>
      <w:tr w14:paraId="47D91D8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CC2DEE0">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3B3C974">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54205D">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14CAF1">
            <w:pPr>
              <w:jc w:val="center"/>
            </w:pPr>
            <w:r>
              <w:rPr>
                <w:rFonts w:ascii="宋体" w:hAnsi="宋体" w:eastAsia="宋体"/>
                <w:sz w:val="16"/>
              </w:rPr>
              <w:t>新建旗舰店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D00126">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AB1549">
            <w:pPr>
              <w:jc w:val="center"/>
            </w:pPr>
            <w:r>
              <w:rPr>
                <w:rFonts w:ascii="宋体" w:hAnsi="宋体" w:eastAsia="宋体"/>
                <w:sz w:val="16"/>
              </w:rPr>
              <w:t>&gt;=4家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CE002E">
            <w:pPr>
              <w:jc w:val="center"/>
            </w:pPr>
            <w:r>
              <w:rPr>
                <w:rFonts w:ascii="宋体" w:hAnsi="宋体" w:eastAsia="宋体"/>
                <w:sz w:val="16"/>
              </w:rPr>
              <w:t>=4家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89B45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1EC6EB">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D469D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F7976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7069B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F88A5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D2C2FB">
            <w:pPr>
              <w:jc w:val="center"/>
            </w:pPr>
          </w:p>
        </w:tc>
      </w:tr>
      <w:tr w14:paraId="62E034D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27AD6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9B71E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96E89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1241AA">
            <w:pPr>
              <w:jc w:val="center"/>
            </w:pPr>
            <w:r>
              <w:rPr>
                <w:rFonts w:ascii="宋体" w:hAnsi="宋体" w:eastAsia="宋体"/>
                <w:sz w:val="16"/>
              </w:rPr>
              <w:t>一般店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6CAC8B">
            <w:pPr>
              <w:jc w:val="center"/>
            </w:pPr>
            <w:r>
              <w:rPr>
                <w:rFonts w:ascii="宋体" w:hAnsi="宋体" w:eastAsia="宋体"/>
                <w:sz w:val="16"/>
              </w:rPr>
              <w:t>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AE3CEF">
            <w:pPr>
              <w:jc w:val="center"/>
            </w:pPr>
            <w:r>
              <w:rPr>
                <w:rFonts w:ascii="宋体" w:hAnsi="宋体" w:eastAsia="宋体"/>
                <w:sz w:val="16"/>
              </w:rPr>
              <w:t>&gt;=3家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7C4306">
            <w:pPr>
              <w:jc w:val="center"/>
            </w:pPr>
            <w:r>
              <w:rPr>
                <w:rFonts w:ascii="宋体" w:hAnsi="宋体" w:eastAsia="宋体"/>
                <w:sz w:val="16"/>
              </w:rPr>
              <w:t>=3家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6564C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E81C34">
            <w:pPr>
              <w:jc w:val="center"/>
            </w:pPr>
            <w:r>
              <w:rPr>
                <w:rFonts w:ascii="宋体" w:hAnsi="宋体" w:eastAsia="宋体"/>
                <w:sz w:val="16"/>
              </w:rPr>
              <w:t>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D8DAB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34AF3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56B64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2A4DD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959462">
            <w:pPr>
              <w:jc w:val="center"/>
            </w:pPr>
          </w:p>
        </w:tc>
      </w:tr>
      <w:tr w14:paraId="244470B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F108E8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DBE3B5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70CF57">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319B7D">
            <w:pPr>
              <w:jc w:val="center"/>
            </w:pPr>
            <w:r>
              <w:rPr>
                <w:rFonts w:ascii="宋体" w:hAnsi="宋体" w:eastAsia="宋体"/>
                <w:sz w:val="16"/>
              </w:rPr>
              <w:t>评选验收合格率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906602">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C444B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0203F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A4BCB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ABEACB">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9B569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E3AC5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4A18E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FDF13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FCFD0B">
            <w:pPr>
              <w:jc w:val="center"/>
            </w:pPr>
          </w:p>
        </w:tc>
      </w:tr>
      <w:tr w14:paraId="16D93EF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912E9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48A54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4056A7">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C1836B">
            <w:pPr>
              <w:jc w:val="center"/>
            </w:pPr>
            <w:r>
              <w:rPr>
                <w:rFonts w:ascii="宋体" w:hAnsi="宋体" w:eastAsia="宋体"/>
                <w:sz w:val="16"/>
              </w:rPr>
              <w:t>项目完成时间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6EBCA3">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8DCB28">
            <w:pPr>
              <w:jc w:val="center"/>
            </w:pPr>
            <w:r>
              <w:rPr>
                <w:rFonts w:ascii="宋体" w:hAnsi="宋体" w:eastAsia="宋体"/>
                <w:sz w:val="16"/>
              </w:rPr>
              <w:t>2024年12月15日前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525E04">
            <w:pPr>
              <w:jc w:val="center"/>
            </w:pPr>
            <w:r>
              <w:rPr>
                <w:rFonts w:ascii="宋体" w:hAnsi="宋体" w:eastAsia="宋体"/>
                <w:sz w:val="16"/>
              </w:rPr>
              <w:t>=2024年12月15日前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23ACA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33E97A">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48A0E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BD194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03FB7A">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BE2FD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87680F">
            <w:pPr>
              <w:jc w:val="center"/>
            </w:pPr>
          </w:p>
        </w:tc>
      </w:tr>
      <w:tr w14:paraId="1439729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C6C97E"/>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57705F4">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D395CBF">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47A2EF">
            <w:pPr>
              <w:jc w:val="center"/>
            </w:pPr>
            <w:r>
              <w:rPr>
                <w:rFonts w:ascii="宋体" w:hAnsi="宋体" w:eastAsia="宋体"/>
                <w:sz w:val="16"/>
              </w:rPr>
              <w:t>旗舰店补助标准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4998D4">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A6597B">
            <w:pPr>
              <w:jc w:val="center"/>
            </w:pPr>
            <w:r>
              <w:rPr>
                <w:rFonts w:ascii="宋体" w:hAnsi="宋体" w:eastAsia="宋体"/>
                <w:sz w:val="16"/>
              </w:rPr>
              <w:t>=15万元/个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706D74">
            <w:pPr>
              <w:jc w:val="center"/>
            </w:pPr>
            <w:r>
              <w:rPr>
                <w:rFonts w:ascii="宋体" w:hAnsi="宋体" w:eastAsia="宋体"/>
                <w:sz w:val="16"/>
              </w:rPr>
              <w:t>=15万元/个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5F378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364AF1">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91ACD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AA660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176E2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4D101D">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3AD6F8">
            <w:pPr>
              <w:jc w:val="center"/>
            </w:pPr>
          </w:p>
        </w:tc>
      </w:tr>
      <w:tr w14:paraId="415D5D6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6A8210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FD819E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6913E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101A15">
            <w:pPr>
              <w:jc w:val="center"/>
            </w:pPr>
            <w:r>
              <w:rPr>
                <w:rFonts w:ascii="宋体" w:hAnsi="宋体" w:eastAsia="宋体"/>
                <w:sz w:val="16"/>
              </w:rPr>
              <w:t>一般店补助标准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9510E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F487F1">
            <w:pPr>
              <w:jc w:val="center"/>
            </w:pPr>
            <w:r>
              <w:rPr>
                <w:rFonts w:ascii="宋体" w:hAnsi="宋体" w:eastAsia="宋体"/>
                <w:sz w:val="16"/>
              </w:rPr>
              <w:t>=10万元/个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151B4D">
            <w:pPr>
              <w:jc w:val="center"/>
            </w:pPr>
            <w:r>
              <w:rPr>
                <w:rFonts w:ascii="宋体" w:hAnsi="宋体" w:eastAsia="宋体"/>
                <w:sz w:val="16"/>
              </w:rPr>
              <w:t>=10万元/个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9D48A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5DEA1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2AA03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C0855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E24D0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5CC55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D39130">
            <w:pPr>
              <w:jc w:val="center"/>
            </w:pPr>
          </w:p>
        </w:tc>
      </w:tr>
      <w:tr w14:paraId="26B292B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82AC07"/>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3767EC5">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E0979E">
            <w:pPr>
              <w:jc w:val="center"/>
            </w:pPr>
            <w:r>
              <w:rPr>
                <w:rFonts w:ascii="宋体" w:hAnsi="宋体" w:eastAsia="宋体"/>
                <w:sz w:val="16"/>
              </w:rPr>
              <w:t>经济效益指标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E646DD">
            <w:pPr>
              <w:jc w:val="center"/>
            </w:pPr>
            <w:r>
              <w:rPr>
                <w:rFonts w:ascii="宋体" w:hAnsi="宋体" w:eastAsia="宋体"/>
                <w:sz w:val="16"/>
              </w:rPr>
              <w:t>旗舰店销售昌吉农产品（万元）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6702A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D73D4E">
            <w:pPr>
              <w:jc w:val="center"/>
            </w:pPr>
            <w:r>
              <w:rPr>
                <w:rFonts w:ascii="宋体" w:hAnsi="宋体" w:eastAsia="宋体"/>
                <w:sz w:val="16"/>
              </w:rPr>
              <w:t>&gt;=100万元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132407">
            <w:pPr>
              <w:jc w:val="center"/>
            </w:pPr>
            <w:r>
              <w:rPr>
                <w:rFonts w:ascii="宋体" w:hAnsi="宋体" w:eastAsia="宋体"/>
                <w:sz w:val="16"/>
              </w:rPr>
              <w:t>≥100万元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4C5CB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D1E3F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DF875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39CC8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4D586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30C07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B3160B">
            <w:pPr>
              <w:jc w:val="center"/>
            </w:pPr>
          </w:p>
        </w:tc>
      </w:tr>
      <w:tr w14:paraId="5AD8B5B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7CCA94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CE62E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3B8E32">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71C123">
            <w:pPr>
              <w:jc w:val="center"/>
            </w:pPr>
            <w:r>
              <w:rPr>
                <w:rFonts w:ascii="宋体" w:hAnsi="宋体" w:eastAsia="宋体"/>
                <w:sz w:val="16"/>
              </w:rPr>
              <w:t>品牌知名度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474B5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35189B">
            <w:pPr>
              <w:jc w:val="center"/>
            </w:pPr>
            <w:r>
              <w:rPr>
                <w:rFonts w:ascii="宋体" w:hAnsi="宋体" w:eastAsia="宋体"/>
                <w:sz w:val="16"/>
              </w:rPr>
              <w:t>有效提升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96A5CF">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76F13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23CBB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79103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2A99E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4DBF47">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5AA70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AD5674">
            <w:pPr>
              <w:jc w:val="center"/>
            </w:pPr>
          </w:p>
        </w:tc>
      </w:tr>
      <w:tr w14:paraId="69A5721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B1BC6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89C31B">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335297">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B1E2CE">
            <w:pPr>
              <w:jc w:val="center"/>
            </w:pPr>
            <w:r>
              <w:rPr>
                <w:rFonts w:ascii="宋体" w:hAnsi="宋体" w:eastAsia="宋体"/>
                <w:sz w:val="16"/>
              </w:rPr>
              <w:t>受益企业满意度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4D35D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008513">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223AF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289A6A">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9CA09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D6D50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459BA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CE24BD">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4B1A9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62AB9A">
            <w:pPr>
              <w:jc w:val="center"/>
            </w:pPr>
            <w:r>
              <w:rPr>
                <w:rFonts w:ascii="宋体" w:hAnsi="宋体" w:eastAsia="宋体"/>
                <w:sz w:val="16"/>
              </w:rPr>
              <w:tab/>
            </w:r>
            <w:r>
              <w:rPr>
                <w:rFonts w:ascii="宋体" w:hAnsi="宋体" w:eastAsia="宋体"/>
                <w:sz w:val="16"/>
              </w:rPr>
              <w:t>受益企业对我单位落实政策和服务态度十分满意，所以满意度测评满意率为100%，年末超额完成指标。</w:t>
            </w:r>
          </w:p>
        </w:tc>
      </w:tr>
      <w:tr w14:paraId="63B1CFC3">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DBC6CE3">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03265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E7C0B2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B704E0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BCC184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E0D9F0">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E3079E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C8F063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11E351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D5571D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E05A3AF"/>
        </w:tc>
      </w:tr>
    </w:tbl>
    <w:p w14:paraId="798E5C9B">
      <w:r>
        <w:br w:type="page"/>
      </w:r>
    </w:p>
    <w:tbl>
      <w:tblPr>
        <w:tblStyle w:val="9"/>
        <w:tblW w:w="0" w:type="auto"/>
        <w:tblInd w:w="0" w:type="dxa"/>
        <w:tblLayout w:type="autofit"/>
        <w:tblCellMar>
          <w:top w:w="0" w:type="dxa"/>
          <w:left w:w="108" w:type="dxa"/>
          <w:bottom w:w="0" w:type="dxa"/>
          <w:right w:w="108" w:type="dxa"/>
        </w:tblCellMar>
      </w:tblPr>
      <w:tblGrid>
        <w:gridCol w:w="619"/>
        <w:gridCol w:w="598"/>
        <w:gridCol w:w="598"/>
        <w:gridCol w:w="598"/>
        <w:gridCol w:w="609"/>
        <w:gridCol w:w="776"/>
        <w:gridCol w:w="696"/>
        <w:gridCol w:w="776"/>
        <w:gridCol w:w="696"/>
        <w:gridCol w:w="598"/>
        <w:gridCol w:w="598"/>
        <w:gridCol w:w="600"/>
        <w:gridCol w:w="601"/>
        <w:gridCol w:w="697"/>
      </w:tblGrid>
      <w:tr w14:paraId="23D1BD1E">
        <w:tblPrEx>
          <w:tblCellMar>
            <w:top w:w="0" w:type="dxa"/>
            <w:left w:w="108" w:type="dxa"/>
            <w:bottom w:w="0" w:type="dxa"/>
            <w:right w:w="108" w:type="dxa"/>
          </w:tblCellMar>
        </w:tblPrEx>
        <w:tc>
          <w:tcPr>
            <w:tcW w:w="8848" w:type="dxa"/>
            <w:gridSpan w:val="14"/>
            <w:vAlign w:val="center"/>
          </w:tcPr>
          <w:p w14:paraId="60188B8A">
            <w:pPr>
              <w:jc w:val="center"/>
            </w:pPr>
            <w:r>
              <w:rPr>
                <w:rFonts w:ascii="宋体" w:hAnsi="宋体" w:eastAsia="宋体"/>
                <w:sz w:val="24"/>
              </w:rPr>
              <w:t>项目支出绩效自评表</w:t>
            </w:r>
          </w:p>
        </w:tc>
      </w:tr>
      <w:tr w14:paraId="3AC61C4E">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37161FCF">
            <w:pPr>
              <w:jc w:val="center"/>
            </w:pPr>
            <w:r>
              <w:rPr>
                <w:rFonts w:ascii="宋体" w:hAnsi="宋体" w:eastAsia="宋体"/>
                <w:sz w:val="24"/>
              </w:rPr>
              <w:t>(2024年度)</w:t>
            </w:r>
          </w:p>
        </w:tc>
      </w:tr>
      <w:tr w14:paraId="1F2361C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E54876">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501B246">
            <w:pPr>
              <w:jc w:val="center"/>
            </w:pPr>
            <w:r>
              <w:rPr>
                <w:rFonts w:ascii="宋体" w:hAnsi="宋体" w:eastAsia="宋体"/>
                <w:sz w:val="16"/>
              </w:rPr>
              <w:t>机构运行补助经费</w:t>
            </w:r>
          </w:p>
        </w:tc>
      </w:tr>
      <w:tr w14:paraId="0200E1F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724F96">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85D4CD8">
            <w:pPr>
              <w:jc w:val="center"/>
            </w:pPr>
            <w:r>
              <w:rPr>
                <w:rFonts w:ascii="宋体" w:hAnsi="宋体" w:eastAsia="宋体"/>
                <w:sz w:val="16"/>
              </w:rPr>
              <w:t>昌吉回族自治州供销社</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AACBAB">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E126D09">
            <w:pPr>
              <w:jc w:val="center"/>
            </w:pPr>
            <w:r>
              <w:rPr>
                <w:rFonts w:ascii="宋体" w:hAnsi="宋体" w:eastAsia="宋体"/>
                <w:sz w:val="16"/>
              </w:rPr>
              <w:t>昌吉回族自治州供销社本级</w:t>
            </w:r>
          </w:p>
        </w:tc>
      </w:tr>
      <w:tr w14:paraId="67627AA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43146F">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A2ECB6">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C29EEB">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0FA864">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CDEF8C">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58CA72">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B70B3E">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B12192">
            <w:pPr>
              <w:jc w:val="center"/>
            </w:pPr>
            <w:r>
              <w:rPr>
                <w:rFonts w:ascii="宋体" w:hAnsi="宋体" w:eastAsia="宋体"/>
                <w:sz w:val="16"/>
              </w:rPr>
              <w:t>得分</w:t>
            </w:r>
          </w:p>
        </w:tc>
      </w:tr>
      <w:tr w14:paraId="05C282C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120FF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63D4CC">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D6D10D">
            <w:pPr>
              <w:jc w:val="center"/>
            </w:pPr>
            <w:r>
              <w:rPr>
                <w:rFonts w:ascii="宋体" w:hAnsi="宋体" w:eastAsia="宋体"/>
                <w:sz w:val="16"/>
              </w:rPr>
              <w:t>12.30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67D371">
            <w:pPr>
              <w:jc w:val="center"/>
            </w:pPr>
            <w:r>
              <w:rPr>
                <w:rFonts w:ascii="宋体" w:hAnsi="宋体" w:eastAsia="宋体"/>
                <w:sz w:val="16"/>
              </w:rPr>
              <w:t>19.90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C8603D">
            <w:pPr>
              <w:jc w:val="center"/>
            </w:pPr>
            <w:r>
              <w:rPr>
                <w:rFonts w:ascii="宋体" w:hAnsi="宋体" w:eastAsia="宋体"/>
                <w:sz w:val="16"/>
              </w:rPr>
              <w:t>19.90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96DBEA">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3CF2ED">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FFE0F7">
            <w:pPr>
              <w:jc w:val="center"/>
            </w:pPr>
            <w:r>
              <w:rPr>
                <w:rFonts w:ascii="宋体" w:hAnsi="宋体" w:eastAsia="宋体"/>
                <w:sz w:val="16"/>
              </w:rPr>
              <w:t>10.00</w:t>
            </w:r>
          </w:p>
        </w:tc>
      </w:tr>
      <w:tr w14:paraId="6C54B0A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66EE34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233E66">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CA260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0B03F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4196C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3EBF30">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5B4D8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18E650">
            <w:pPr>
              <w:jc w:val="center"/>
            </w:pPr>
            <w:r>
              <w:rPr>
                <w:rFonts w:ascii="宋体" w:hAnsi="宋体" w:eastAsia="宋体"/>
                <w:sz w:val="16"/>
              </w:rPr>
              <w:t>—</w:t>
            </w:r>
          </w:p>
        </w:tc>
      </w:tr>
      <w:tr w14:paraId="497CF45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8BF26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664B13">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4A326E">
            <w:pPr>
              <w:jc w:val="center"/>
            </w:pPr>
            <w:r>
              <w:rPr>
                <w:rFonts w:ascii="宋体" w:hAnsi="宋体" w:eastAsia="宋体"/>
                <w:sz w:val="16"/>
              </w:rPr>
              <w:t>12.30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E200F9">
            <w:pPr>
              <w:jc w:val="center"/>
            </w:pPr>
            <w:r>
              <w:rPr>
                <w:rFonts w:ascii="宋体" w:hAnsi="宋体" w:eastAsia="宋体"/>
                <w:sz w:val="16"/>
              </w:rPr>
              <w:t>19.90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5A50F2">
            <w:pPr>
              <w:jc w:val="center"/>
            </w:pPr>
            <w:r>
              <w:rPr>
                <w:rFonts w:ascii="宋体" w:hAnsi="宋体" w:eastAsia="宋体"/>
                <w:sz w:val="16"/>
              </w:rPr>
              <w:t>19.90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D7D69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232A5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DD1A44">
            <w:pPr>
              <w:jc w:val="center"/>
            </w:pPr>
            <w:r>
              <w:rPr>
                <w:rFonts w:ascii="宋体" w:hAnsi="宋体" w:eastAsia="宋体"/>
                <w:sz w:val="16"/>
              </w:rPr>
              <w:t>—</w:t>
            </w:r>
          </w:p>
        </w:tc>
      </w:tr>
      <w:tr w14:paraId="3FBE2B2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82F064C">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5D78826">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9A5A94A">
            <w:pPr>
              <w:jc w:val="center"/>
            </w:pPr>
            <w:r>
              <w:rPr>
                <w:rFonts w:ascii="宋体" w:hAnsi="宋体" w:eastAsia="宋体"/>
                <w:sz w:val="16"/>
              </w:rPr>
              <w:t>实际完成情况</w:t>
            </w:r>
          </w:p>
        </w:tc>
      </w:tr>
      <w:tr w14:paraId="1A8A6A5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A511CC"/>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D809E7C">
            <w:pPr>
              <w:jc w:val="both"/>
            </w:pPr>
            <w:r>
              <w:rPr>
                <w:rFonts w:ascii="宋体" w:hAnsi="宋体" w:eastAsia="宋体"/>
                <w:sz w:val="16"/>
              </w:rPr>
              <w:t>强化制度建设，建立长效机制，开展丰富的党建活动，慰问退休党员，以争创“干事创业好班子”为动力，进一步加强领导班子和干部队伍建设。持续推进“模范机关”创建工作，优化“党建铸魂、供销惠民”党建品牌，巩固“五个好”党支部创建成果，建设“四个合格”党员队伍。</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C8DDCAB">
            <w:pPr>
              <w:jc w:val="both"/>
            </w:pPr>
            <w:r>
              <w:rPr>
                <w:rFonts w:ascii="宋体" w:hAnsi="宋体" w:eastAsia="宋体"/>
                <w:sz w:val="16"/>
              </w:rPr>
              <w:t>截至2024年12月31日，该项目实际完成开展丰富的党建活动4次，慰问退休党员2次，保障了机关的正常运行。通过项目的实施，提升了“党建铸魂、供销惠民”党建品牌，巩固“五个好”党支部创建成果，建设“四个合格”党员队伍领导班子和干部队伍建设，促进了领导班子和干部队伍建设。</w:t>
            </w:r>
          </w:p>
        </w:tc>
      </w:tr>
      <w:tr w14:paraId="6A41A42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4139EB0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C57532">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0661EC">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9949DE">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3AA554">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56CCC7">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03EB0E">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7C00F1">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AC0B42">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844508">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B287E7">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90DAE8">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2EFB30">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C23689">
            <w:pPr>
              <w:jc w:val="center"/>
            </w:pPr>
            <w:r>
              <w:rPr>
                <w:rFonts w:ascii="宋体" w:hAnsi="宋体" w:eastAsia="宋体"/>
                <w:sz w:val="16"/>
              </w:rPr>
              <w:t>偏差原因分析及改进措施</w:t>
            </w:r>
          </w:p>
        </w:tc>
      </w:tr>
      <w:tr w14:paraId="3B02B61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47C2366">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6DD2FB0">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696F7B">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2B8BA3">
            <w:pPr>
              <w:jc w:val="center"/>
            </w:pPr>
            <w:r>
              <w:rPr>
                <w:rFonts w:ascii="宋体" w:hAnsi="宋体" w:eastAsia="宋体"/>
                <w:sz w:val="16"/>
              </w:rPr>
              <w:t>慰问离退休干部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FB2394">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55A066">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FC2C89">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7F516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5BF5CB">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73490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67E59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44B1F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01AC9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856681">
            <w:pPr>
              <w:jc w:val="center"/>
            </w:pPr>
            <w:r>
              <w:rPr>
                <w:rFonts w:ascii="宋体" w:hAnsi="宋体" w:eastAsia="宋体"/>
                <w:sz w:val="16"/>
              </w:rPr>
              <w:t>本单位积极开展对离退休党员的关心关爱，全年慰问离退休干部2次，年末指标完成超过预期。</w:t>
            </w:r>
          </w:p>
        </w:tc>
      </w:tr>
      <w:tr w14:paraId="6C0BC18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FCA770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AE9DFA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01AB36">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1FB685">
            <w:pPr>
              <w:jc w:val="center"/>
            </w:pPr>
            <w:r>
              <w:rPr>
                <w:rFonts w:ascii="宋体" w:hAnsi="宋体" w:eastAsia="宋体"/>
                <w:sz w:val="16"/>
              </w:rPr>
              <w:t>组织党员开展活动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5CB23A">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9885C5">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F30757">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6954D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EEC59D">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AAF83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8B8D5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9FE3C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8A466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2DF210">
            <w:pPr>
              <w:jc w:val="center"/>
            </w:pPr>
            <w:r>
              <w:rPr>
                <w:rFonts w:ascii="宋体" w:hAnsi="宋体" w:eastAsia="宋体"/>
                <w:sz w:val="16"/>
              </w:rPr>
              <w:t>本单位严格把关机构运行补助经费的使用，全年组织党员开展了多次活动，年末超额完成了预期指标。</w:t>
            </w:r>
          </w:p>
        </w:tc>
      </w:tr>
      <w:tr w14:paraId="48DE459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937BB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36266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9F492D">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560181">
            <w:pPr>
              <w:jc w:val="center"/>
            </w:pPr>
            <w:r>
              <w:rPr>
                <w:rFonts w:ascii="宋体" w:hAnsi="宋体" w:eastAsia="宋体"/>
                <w:sz w:val="16"/>
              </w:rPr>
              <w:t>资金拨付及时率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6559C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64F02A">
            <w:pPr>
              <w:jc w:val="center"/>
            </w:pPr>
            <w:r>
              <w:rPr>
                <w:rFonts w:ascii="宋体" w:hAnsi="宋体" w:eastAsia="宋体"/>
                <w:sz w:val="16"/>
              </w:rPr>
              <w:t>2024年12月15日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E31021">
            <w:pPr>
              <w:jc w:val="center"/>
            </w:pPr>
            <w:r>
              <w:rPr>
                <w:rFonts w:ascii="宋体" w:hAnsi="宋体" w:eastAsia="宋体"/>
                <w:sz w:val="16"/>
              </w:rPr>
              <w:t>=2024年12月05日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3F0CE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9FD2B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783A8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8C76B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5FACD6">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D8C8A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FE80F9">
            <w:pPr>
              <w:jc w:val="center"/>
            </w:pPr>
          </w:p>
        </w:tc>
      </w:tr>
      <w:tr w14:paraId="087DABA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2F15B0"/>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EADD80">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589173F">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C1B43B">
            <w:pPr>
              <w:jc w:val="center"/>
            </w:pPr>
            <w:r>
              <w:rPr>
                <w:rFonts w:ascii="宋体" w:hAnsi="宋体" w:eastAsia="宋体"/>
                <w:sz w:val="16"/>
              </w:rPr>
              <w:t>党建工作经费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A475A9">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A90DD5">
            <w:pPr>
              <w:jc w:val="center"/>
            </w:pPr>
            <w:r>
              <w:rPr>
                <w:rFonts w:ascii="宋体" w:hAnsi="宋体" w:eastAsia="宋体"/>
                <w:sz w:val="16"/>
              </w:rPr>
              <w:t>&lt;=1.41万元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9A518E">
            <w:pPr>
              <w:jc w:val="center"/>
            </w:pPr>
            <w:r>
              <w:rPr>
                <w:rFonts w:ascii="宋体" w:hAnsi="宋体" w:eastAsia="宋体"/>
                <w:sz w:val="16"/>
              </w:rPr>
              <w:t>=1.41万元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7A571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A0B98E">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826DA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CB185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4AB88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228062">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2419DB">
            <w:pPr>
              <w:jc w:val="center"/>
            </w:pPr>
          </w:p>
        </w:tc>
      </w:tr>
      <w:tr w14:paraId="6499720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6CF8ED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A6BCA2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1CC3C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58876C">
            <w:pPr>
              <w:jc w:val="center"/>
            </w:pPr>
            <w:r>
              <w:rPr>
                <w:rFonts w:ascii="宋体" w:hAnsi="宋体" w:eastAsia="宋体"/>
                <w:sz w:val="16"/>
              </w:rPr>
              <w:t>办公经费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EE58EC">
            <w:pPr>
              <w:jc w:val="center"/>
            </w:pPr>
            <w:r>
              <w:rPr>
                <w:rFonts w:ascii="宋体" w:hAnsi="宋体" w:eastAsia="宋体"/>
                <w:sz w:val="16"/>
              </w:rPr>
              <w:t>18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077D43">
            <w:pPr>
              <w:jc w:val="center"/>
            </w:pPr>
            <w:r>
              <w:rPr>
                <w:rFonts w:ascii="宋体" w:hAnsi="宋体" w:eastAsia="宋体"/>
                <w:sz w:val="16"/>
              </w:rPr>
              <w:t>&lt;=18.49万元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56FD06">
            <w:pPr>
              <w:jc w:val="center"/>
            </w:pPr>
            <w:r>
              <w:rPr>
                <w:rFonts w:ascii="宋体" w:hAnsi="宋体" w:eastAsia="宋体"/>
                <w:sz w:val="16"/>
              </w:rPr>
              <w:t>=18.49万元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41FEC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A585A2">
            <w:pPr>
              <w:jc w:val="center"/>
            </w:pPr>
            <w:r>
              <w:rPr>
                <w:rFonts w:ascii="宋体" w:hAnsi="宋体" w:eastAsia="宋体"/>
                <w:sz w:val="16"/>
              </w:rPr>
              <w:t>18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3C367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15E4D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64DEA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252EF2">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F5DB33">
            <w:pPr>
              <w:jc w:val="center"/>
            </w:pPr>
          </w:p>
        </w:tc>
      </w:tr>
      <w:tr w14:paraId="4CA1400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A533E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59A3E4">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53E3CF">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004A69">
            <w:pPr>
              <w:jc w:val="center"/>
            </w:pPr>
            <w:r>
              <w:rPr>
                <w:rFonts w:ascii="宋体" w:hAnsi="宋体" w:eastAsia="宋体"/>
                <w:sz w:val="16"/>
              </w:rPr>
              <w:t>提升为农服务能力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C8E92C">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992685">
            <w:pPr>
              <w:jc w:val="center"/>
            </w:pPr>
            <w:r>
              <w:rPr>
                <w:rFonts w:ascii="宋体" w:hAnsi="宋体" w:eastAsia="宋体"/>
                <w:sz w:val="16"/>
              </w:rPr>
              <w:t>为农服务能力提升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D50A2E">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17B0B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7CD3C9">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CAE7B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75CC6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C08580">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9C81A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65BE20">
            <w:pPr>
              <w:jc w:val="center"/>
            </w:pPr>
          </w:p>
        </w:tc>
      </w:tr>
      <w:tr w14:paraId="4EF14EC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6D608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F4D8E8">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EBD777">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8E67F7">
            <w:pPr>
              <w:jc w:val="center"/>
            </w:pPr>
            <w:r>
              <w:rPr>
                <w:rFonts w:ascii="宋体" w:hAnsi="宋体" w:eastAsia="宋体"/>
                <w:sz w:val="16"/>
              </w:rPr>
              <w:t>党员满意度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68C22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92D149">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C1ECB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ECE616">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B91B3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174E3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9149C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BC9F40">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7FE15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B70E40">
            <w:pPr>
              <w:jc w:val="center"/>
            </w:pPr>
            <w:r>
              <w:rPr>
                <w:rFonts w:ascii="宋体" w:hAnsi="宋体" w:eastAsia="宋体"/>
                <w:sz w:val="16"/>
              </w:rPr>
              <w:t>党员对机关党支部党建工作十分满意，满意度测评满意率达100%，年终完成目标超过指标预期值</w:t>
            </w:r>
          </w:p>
        </w:tc>
      </w:tr>
      <w:tr w14:paraId="59E6FBC0">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8F0923C">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0DC35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E5F376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0C5E5B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5D51F6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1E5F72">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082E36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F87926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C79DB6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16986B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F3702D3"/>
        </w:tc>
      </w:tr>
    </w:tbl>
    <w:p w14:paraId="36418657">
      <w:r>
        <w:br w:type="page"/>
      </w:r>
    </w:p>
    <w:p w14:paraId="0E15B406">
      <w:pPr>
        <w:spacing w:line="640" w:lineRule="exact"/>
        <w:ind w:firstLine="640"/>
        <w:jc w:val="both"/>
        <w:outlineLvl w:val="2"/>
      </w:pPr>
      <w:r>
        <w:rPr>
          <w:rFonts w:ascii="黑体" w:hAnsi="黑体" w:eastAsia="黑体"/>
          <w:sz w:val="32"/>
        </w:rPr>
        <w:t>十二、其他需说明的事项</w:t>
      </w:r>
    </w:p>
    <w:p w14:paraId="527C712D">
      <w:pPr>
        <w:spacing w:line="580" w:lineRule="exact"/>
        <w:ind w:firstLine="640"/>
        <w:jc w:val="both"/>
      </w:pPr>
      <w:r>
        <w:rPr>
          <w:rFonts w:ascii="仿宋_GB2312" w:hAnsi="仿宋_GB2312" w:eastAsia="仿宋_GB2312"/>
          <w:b w:val="0"/>
          <w:sz w:val="32"/>
        </w:rPr>
        <w:t>本单位无其他需说明的事项。</w:t>
      </w:r>
    </w:p>
    <w:p w14:paraId="6D41991D">
      <w:r>
        <w:br w:type="page"/>
      </w:r>
    </w:p>
    <w:p w14:paraId="1BA99562">
      <w:pPr>
        <w:spacing w:line="240" w:lineRule="auto"/>
        <w:jc w:val="center"/>
        <w:outlineLvl w:val="1"/>
      </w:pPr>
      <w:r>
        <w:rPr>
          <w:rFonts w:ascii="黑体" w:hAnsi="黑体" w:eastAsia="黑体"/>
          <w:sz w:val="32"/>
        </w:rPr>
        <w:t>第三部分 专业名词解释</w:t>
      </w:r>
    </w:p>
    <w:p w14:paraId="6CF3DB13">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1BD783F9">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788B0CD2">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006F46F5">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38100E4D">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79F9CD0A">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5980E8DB">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0B7DE35A">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7EA84590">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66434252">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2B09968C">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45CD0DA0">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30FA4ADB">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3810FDD9">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6A8B5C86">
      <w:r>
        <w:br w:type="page"/>
      </w:r>
    </w:p>
    <w:p w14:paraId="23CBB1C4">
      <w:pPr>
        <w:spacing w:line="240" w:lineRule="auto"/>
        <w:jc w:val="center"/>
        <w:outlineLvl w:val="1"/>
      </w:pPr>
      <w:r>
        <w:rPr>
          <w:rFonts w:ascii="黑体" w:hAnsi="黑体" w:eastAsia="黑体"/>
          <w:sz w:val="32"/>
        </w:rPr>
        <w:t>第四部分 部门决算报表（见附表）</w:t>
      </w:r>
    </w:p>
    <w:p w14:paraId="17212283">
      <w:pPr>
        <w:spacing w:line="240" w:lineRule="auto"/>
        <w:ind w:firstLine="640"/>
        <w:jc w:val="both"/>
      </w:pPr>
      <w:r>
        <w:rPr>
          <w:rFonts w:ascii="仿宋_GB2312" w:hAnsi="仿宋_GB2312" w:eastAsia="仿宋_GB2312"/>
          <w:b w:val="0"/>
          <w:sz w:val="32"/>
        </w:rPr>
        <w:t>一、《收入支出决算总表》</w:t>
      </w:r>
    </w:p>
    <w:p w14:paraId="376778D8">
      <w:pPr>
        <w:spacing w:line="240" w:lineRule="auto"/>
        <w:ind w:firstLine="640"/>
        <w:jc w:val="both"/>
      </w:pPr>
      <w:r>
        <w:rPr>
          <w:rFonts w:ascii="仿宋_GB2312" w:hAnsi="仿宋_GB2312" w:eastAsia="仿宋_GB2312"/>
          <w:b w:val="0"/>
          <w:sz w:val="32"/>
        </w:rPr>
        <w:t>二、《收入决算表》</w:t>
      </w:r>
    </w:p>
    <w:p w14:paraId="1AB6B6CD">
      <w:pPr>
        <w:spacing w:line="240" w:lineRule="auto"/>
        <w:ind w:firstLine="640"/>
        <w:jc w:val="both"/>
      </w:pPr>
      <w:r>
        <w:rPr>
          <w:rFonts w:ascii="仿宋_GB2312" w:hAnsi="仿宋_GB2312" w:eastAsia="仿宋_GB2312"/>
          <w:b w:val="0"/>
          <w:sz w:val="32"/>
        </w:rPr>
        <w:t>三、《支出决算表》</w:t>
      </w:r>
    </w:p>
    <w:p w14:paraId="567F9897">
      <w:pPr>
        <w:spacing w:line="240" w:lineRule="auto"/>
        <w:ind w:firstLine="640"/>
        <w:jc w:val="both"/>
      </w:pPr>
      <w:r>
        <w:rPr>
          <w:rFonts w:ascii="仿宋_GB2312" w:hAnsi="仿宋_GB2312" w:eastAsia="仿宋_GB2312"/>
          <w:b w:val="0"/>
          <w:sz w:val="32"/>
        </w:rPr>
        <w:t>四、《财政拨款收入支出决算总表》</w:t>
      </w:r>
    </w:p>
    <w:p w14:paraId="39928DBF">
      <w:pPr>
        <w:spacing w:line="240" w:lineRule="auto"/>
        <w:ind w:firstLine="640"/>
        <w:jc w:val="both"/>
      </w:pPr>
      <w:r>
        <w:rPr>
          <w:rFonts w:ascii="仿宋_GB2312" w:hAnsi="仿宋_GB2312" w:eastAsia="仿宋_GB2312"/>
          <w:b w:val="0"/>
          <w:sz w:val="32"/>
        </w:rPr>
        <w:t>五、《一般公共预算财政拨款支出决算表》</w:t>
      </w:r>
    </w:p>
    <w:p w14:paraId="1DACE4D2">
      <w:pPr>
        <w:spacing w:line="240" w:lineRule="auto"/>
        <w:ind w:firstLine="640"/>
        <w:jc w:val="both"/>
      </w:pPr>
      <w:r>
        <w:rPr>
          <w:rFonts w:ascii="仿宋_GB2312" w:hAnsi="仿宋_GB2312" w:eastAsia="仿宋_GB2312"/>
          <w:b w:val="0"/>
          <w:sz w:val="32"/>
        </w:rPr>
        <w:t>六、《一般公共预算财政拨款基本支出决算表》</w:t>
      </w:r>
    </w:p>
    <w:p w14:paraId="241C55AB">
      <w:pPr>
        <w:spacing w:line="240" w:lineRule="auto"/>
        <w:ind w:firstLine="640"/>
        <w:jc w:val="both"/>
      </w:pPr>
      <w:r>
        <w:rPr>
          <w:rFonts w:ascii="仿宋_GB2312" w:hAnsi="仿宋_GB2312" w:eastAsia="仿宋_GB2312"/>
          <w:b w:val="0"/>
          <w:sz w:val="32"/>
        </w:rPr>
        <w:t>七、《政府性基金预算财政拨款收入支出决算表》</w:t>
      </w:r>
    </w:p>
    <w:p w14:paraId="4D313AA7">
      <w:pPr>
        <w:spacing w:line="240" w:lineRule="auto"/>
        <w:ind w:firstLine="640"/>
        <w:jc w:val="both"/>
      </w:pPr>
      <w:r>
        <w:rPr>
          <w:rFonts w:ascii="仿宋_GB2312" w:hAnsi="仿宋_GB2312" w:eastAsia="仿宋_GB2312"/>
          <w:b w:val="0"/>
          <w:sz w:val="32"/>
        </w:rPr>
        <w:t>八、《国有资本经营预算财政拨款收入支出决算表》</w:t>
      </w:r>
    </w:p>
    <w:p w14:paraId="57911E6E">
      <w:pPr>
        <w:spacing w:line="240" w:lineRule="auto"/>
        <w:ind w:firstLine="640"/>
        <w:jc w:val="both"/>
      </w:pPr>
      <w:r>
        <w:rPr>
          <w:rFonts w:ascii="仿宋_GB2312" w:hAnsi="仿宋_GB2312" w:eastAsia="仿宋_GB2312"/>
          <w:b w:val="0"/>
          <w:sz w:val="32"/>
        </w:rPr>
        <w:t>九、《财政拨款“三公”经费支出决算表》</w:t>
      </w:r>
    </w:p>
    <w:p w14:paraId="081531DB">
      <w:pPr>
        <w:spacing w:line="240" w:lineRule="auto"/>
        <w:ind w:firstLine="640"/>
        <w:jc w:val="both"/>
      </w:pPr>
    </w:p>
    <w:p w14:paraId="338C4358">
      <w:pPr>
        <w:spacing w:line="240" w:lineRule="auto"/>
        <w:ind w:firstLine="640"/>
        <w:jc w:val="both"/>
      </w:pPr>
    </w:p>
    <w:p w14:paraId="554222C8">
      <w:pPr>
        <w:spacing w:line="240" w:lineRule="auto"/>
        <w:ind w:firstLine="640"/>
        <w:jc w:val="both"/>
      </w:pPr>
    </w:p>
    <w:p w14:paraId="4D9C5CF0">
      <w:pPr>
        <w:spacing w:line="240" w:lineRule="auto"/>
        <w:ind w:firstLine="640"/>
        <w:jc w:val="both"/>
      </w:pPr>
    </w:p>
    <w:p w14:paraId="75D81DB3">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A3DB8D-DC86-4E98-9D82-7AD264347D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26365283-054F-4941-9B51-C24690AEAD90}"/>
  </w:font>
  <w:font w:name="仿宋_GB2312">
    <w:altName w:val="仿宋"/>
    <w:panose1 w:val="02010609030101010101"/>
    <w:charset w:val="86"/>
    <w:family w:val="modern"/>
    <w:pitch w:val="default"/>
    <w:sig w:usb0="00000000" w:usb1="00000000" w:usb2="00000000" w:usb3="00000000" w:csb0="00040000" w:csb1="00000000"/>
    <w:embedRegular r:id="rId3" w:fontKey="{C688291D-B2D4-4FF5-8886-0488EA411A62}"/>
  </w:font>
  <w:font w:name="楷体_GB2312">
    <w:altName w:val="楷体"/>
    <w:panose1 w:val="00000000000000000000"/>
    <w:charset w:val="00"/>
    <w:family w:val="auto"/>
    <w:pitch w:val="default"/>
    <w:sig w:usb0="00000000" w:usb1="00000000" w:usb2="00000000" w:usb3="00000000" w:csb0="00000000" w:csb1="00000000"/>
    <w:embedRegular r:id="rId4" w:fontKey="{BD0220D5-2AA9-4756-A0E6-9A49D0B75723}"/>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1E343A"/>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523</Words>
  <Characters>541</Characters>
  <Lines>0</Lines>
  <Paragraphs>0</Paragraphs>
  <TotalTime>0</TotalTime>
  <ScaleCrop>false</ScaleCrop>
  <LinksUpToDate>false</LinksUpToDate>
  <CharactersWithSpaces>547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忆</cp:lastModifiedBy>
  <cp:lastPrinted>2024-07-22T11:58:00Z</cp:lastPrinted>
  <dcterms:modified xsi:type="dcterms:W3CDTF">2025-09-25T02:17:13Z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