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昌吉回族自治州公安局食品药品环境犯罪侦查分局天池大队2024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掌握所辖国有林区内食品药品、知识产权、生态环境、森林草原、生物安全、制售伪劣商品等领域犯罪动态，拟定预防、打击对策；侦办所辖国有林区、自然保护区内，食品药品、知识产权、生态环境、森林草原、生物安全、制售伪劣商品等领域犯罪案件；依法办理所辖国有林区内公安机关负责的上述领域的行政案件。</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昌吉回族自治州公安局食品药品环境犯罪侦查分局天池大队2024年度，实有人数10人，其中：在职人员9人，增加1人；离休人员0人，增加0人；退休人员1人,增加0人。</w:t>
      </w:r>
    </w:p>
    <w:p>
      <w:pPr>
        <w:spacing w:line="580" w:lineRule="exact"/>
        <w:ind w:firstLine="640"/>
        <w:jc w:val="both"/>
      </w:pPr>
      <w:r>
        <w:rPr>
          <w:rFonts w:ascii="仿宋_GB2312" w:hAnsi="仿宋_GB2312" w:eastAsia="仿宋_GB2312"/>
          <w:sz w:val="32"/>
        </w:rPr>
        <w:t>昌吉回族自治州公安局食品药品环境犯罪侦查分局天池大队无下属预算单位，下设1个科室，分别是：本单位无下设科室。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2024年度收入总计313.24万元，</w:t>
      </w:r>
      <w:r>
        <w:rPr>
          <w:rFonts w:ascii="仿宋_GB2312" w:hAnsi="仿宋_GB2312" w:eastAsia="仿宋_GB2312"/>
          <w:b w:val="0"/>
          <w:sz w:val="32"/>
        </w:rPr>
        <w:t>其中：本年收入合计214.21万元，使用非财政拨款结余（含专用结余）0.00万元，年初结转和结余99.03万元。</w:t>
      </w:r>
    </w:p>
    <w:p>
      <w:pPr>
        <w:spacing w:line="580" w:lineRule="exact"/>
        <w:ind w:firstLine="640"/>
        <w:jc w:val="both"/>
      </w:pPr>
      <w:r>
        <w:rPr>
          <w:rFonts w:ascii="仿宋_GB2312" w:hAnsi="仿宋_GB2312" w:eastAsia="仿宋_GB2312"/>
          <w:b/>
          <w:sz w:val="32"/>
        </w:rPr>
        <w:t>2024年度支出总计313.24万元，</w:t>
      </w:r>
      <w:r>
        <w:rPr>
          <w:rFonts w:ascii="仿宋_GB2312" w:hAnsi="仿宋_GB2312" w:eastAsia="仿宋_GB2312"/>
          <w:b w:val="0"/>
          <w:sz w:val="32"/>
        </w:rPr>
        <w:t>其中：本年支出合计214.08万元，结余分配0.00万元，年末结转和结余99.16万元。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增加24.46万元，增长8.47%，主要原因是：本年在职人员工资调增，社保、公积金基数调增，人员经费增加。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本年收入214.21万元，</w:t>
      </w:r>
      <w:r>
        <w:rPr>
          <w:rFonts w:ascii="仿宋_GB2312" w:hAnsi="仿宋_GB2312" w:eastAsia="仿宋_GB2312"/>
          <w:b w:val="0"/>
          <w:sz w:val="32"/>
        </w:rPr>
        <w:t>其中：财政拨款收入214.08万元，占99.94%；上级补助收入0.00万元，占0.00%；事业收入0.00万元，占0.00%；经营收入0.00万元，占0.00%；附属单位上缴收入0.00万元，占0.00%；其他收入0.14万元，占0.07%。</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本年支出214.08万元，</w:t>
      </w:r>
      <w:r>
        <w:rPr>
          <w:rFonts w:ascii="仿宋_GB2312" w:hAnsi="仿宋_GB2312" w:eastAsia="仿宋_GB2312"/>
          <w:b w:val="0"/>
          <w:sz w:val="32"/>
        </w:rPr>
        <w:t>其中：基本支出213.19万元，占99.58%；项目支出0.89万元，占0.42%；上缴上级支出0.00万元，占0.00%；经营支出0.00万元，占0.00%；对附属单位补助支出0.00万元，占0.00%。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2024年度财政拨款收入总计214.08万元，</w:t>
      </w:r>
      <w:r>
        <w:rPr>
          <w:rFonts w:ascii="仿宋_GB2312" w:hAnsi="仿宋_GB2312" w:eastAsia="仿宋_GB2312"/>
          <w:b w:val="0"/>
          <w:sz w:val="32"/>
        </w:rPr>
        <w:t>其中：年初财政拨款结转和结余0.00万元，本年财政拨款收入214.08万元。</w:t>
      </w:r>
      <w:r>
        <w:rPr>
          <w:rFonts w:ascii="仿宋_GB2312" w:hAnsi="仿宋_GB2312" w:eastAsia="仿宋_GB2312"/>
          <w:b/>
          <w:sz w:val="32"/>
        </w:rPr>
        <w:t>财政拨款支出总计214.08万元，</w:t>
      </w:r>
      <w:r>
        <w:rPr>
          <w:rFonts w:ascii="仿宋_GB2312" w:hAnsi="仿宋_GB2312" w:eastAsia="仿宋_GB2312"/>
          <w:b w:val="0"/>
          <w:sz w:val="32"/>
        </w:rPr>
        <w:t>其中：年末财政拨款结转和结余0.00万元，本年财政拨款支出214.08万元。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减少74.04万元，下降25.70%，主要原因是：本年减少结转结余-人员社保、医保资金，导致经费较上年减少。</w:t>
      </w:r>
      <w:r>
        <w:rPr>
          <w:rFonts w:ascii="仿宋_GB2312" w:hAnsi="仿宋_GB2312" w:eastAsia="仿宋_GB2312"/>
          <w:b/>
          <w:sz w:val="32"/>
        </w:rPr>
        <w:t>与年初预算相比，</w:t>
      </w:r>
      <w:r>
        <w:rPr>
          <w:rFonts w:ascii="仿宋_GB2312" w:hAnsi="仿宋_GB2312" w:eastAsia="仿宋_GB2312"/>
          <w:b w:val="0"/>
          <w:sz w:val="32"/>
        </w:rPr>
        <w:t>年初预算数197.38万元，决算数214.08万元，预决算差异率8.46%，主要原因是：本年在职人员增加，年中追加人员经费及人员工资、社保、公积金基数调增部分资金，导致预决算存在差异。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2024年度一般公共预算财政拨款支出214.08万元，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增加24.33万元，增长12.82%，主要原因是：本年在职人员工资调增，社保、公积金基数调增，人员经费增加。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年初预算数197.38万元，决算数214.08万元，预决算差异率8.46%，主要原因是：本年在职人员增加，年中追加人员经费及人员工资、社保、公积金基数调增部分资金，导致预决算存在差异。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1.公共安全支出(类)161.31万元,占75.35%。</w:t>
      </w:r>
    </w:p>
    <w:p>
      <w:pPr>
        <w:spacing w:line="580" w:lineRule="exact"/>
        <w:ind w:firstLine="640"/>
        <w:jc w:val="both"/>
      </w:pPr>
      <w:r>
        <w:rPr>
          <w:rFonts w:ascii="仿宋_GB2312" w:hAnsi="仿宋_GB2312" w:eastAsia="仿宋_GB2312"/>
          <w:b w:val="0"/>
          <w:sz w:val="32"/>
        </w:rPr>
        <w:t>2.社会保障和就业支出(类)27.14万元,占12.68%。</w:t>
      </w:r>
    </w:p>
    <w:p>
      <w:pPr>
        <w:spacing w:line="580" w:lineRule="exact"/>
        <w:ind w:firstLine="640"/>
        <w:jc w:val="both"/>
      </w:pPr>
      <w:r>
        <w:rPr>
          <w:rFonts w:ascii="仿宋_GB2312" w:hAnsi="仿宋_GB2312" w:eastAsia="仿宋_GB2312"/>
          <w:b w:val="0"/>
          <w:sz w:val="32"/>
        </w:rPr>
        <w:t>3.卫生健康支出(类)9.43万元,占4.40%。</w:t>
      </w:r>
    </w:p>
    <w:p>
      <w:pPr>
        <w:spacing w:line="580" w:lineRule="exact"/>
        <w:ind w:firstLine="640"/>
        <w:jc w:val="both"/>
      </w:pPr>
      <w:r>
        <w:rPr>
          <w:rFonts w:ascii="仿宋_GB2312" w:hAnsi="仿宋_GB2312" w:eastAsia="仿宋_GB2312"/>
          <w:b w:val="0"/>
          <w:sz w:val="32"/>
        </w:rPr>
        <w:t>4.住房保障支出(类)16.20万元,占7.57%。</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1.公共安全支出(类)公安(款)行政运行(项):支出决算数为160.42万元，比上年决算增加21.04万元，增长15.10%,主要原因是：本年在职人员增加，工资调增，导致相关人员经费较上年有所增加。</w:t>
      </w:r>
    </w:p>
    <w:p>
      <w:pPr>
        <w:spacing w:line="580" w:lineRule="exact"/>
        <w:ind w:firstLine="640"/>
        <w:jc w:val="both"/>
      </w:pPr>
      <w:r>
        <w:rPr>
          <w:rFonts w:ascii="仿宋_GB2312" w:hAnsi="仿宋_GB2312" w:eastAsia="仿宋_GB2312"/>
          <w:b w:val="0"/>
          <w:sz w:val="32"/>
        </w:rPr>
        <w:t>2.公共安全支出(类)公安(款)一般行政管理事务(项):支出决算数为0.89万元，比上年决算增加0.03万元，增长3.49%,主要原因是：本年增加执法办案业务经费。</w:t>
      </w:r>
    </w:p>
    <w:p>
      <w:pPr>
        <w:spacing w:line="580" w:lineRule="exact"/>
        <w:ind w:firstLine="640"/>
        <w:jc w:val="both"/>
      </w:pPr>
      <w:r>
        <w:rPr>
          <w:rFonts w:ascii="仿宋_GB2312" w:hAnsi="仿宋_GB2312" w:eastAsia="仿宋_GB2312"/>
          <w:b w:val="0"/>
          <w:sz w:val="32"/>
        </w:rPr>
        <w:t>3.社会保障和就业支出(类)行政事业单位养老支出(款)行政单位离退休(项):支出决算数为0.62万元，比上年决算增加0.21万元，增长51.22%,主要原因是：本年增加退休人员基础绩效奖，退休费支出增加。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基本养老保险缴费支出(项):支出决算数为17.79万元，比上年决算增加4.52万元，增长34.06%,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5.社会保障和就业支出(类)行政事业单位养老支出(款)机关事业单位职业年金缴费支出(项):支出决算数为8.72万元，比上年决算减少5.62万元，下降39.19%,主要原因是：本年无新增退休人员，职业年金缴费支出减少。</w:t>
      </w:r>
    </w:p>
    <w:p>
      <w:pPr>
        <w:spacing w:line="580" w:lineRule="exact"/>
        <w:ind w:firstLine="640"/>
        <w:jc w:val="both"/>
      </w:pPr>
      <w:r>
        <w:rPr>
          <w:rFonts w:ascii="仿宋_GB2312" w:hAnsi="仿宋_GB2312" w:eastAsia="仿宋_GB2312"/>
          <w:b w:val="0"/>
          <w:sz w:val="32"/>
        </w:rPr>
        <w:t>6.卫生健康支出(类)行政事业单位医疗(款)行政单位医疗(项):支出决算数为8.81万元，比上年决算增加1.01万元，增长12.95%,主要原因是：本年在职人员工资基数调增，医疗缴费基数上涨，相应支出增加。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7.卫生健康支出(类)行政事业单位医疗(款)公务员医疗补助(项):支出决算数为0.55万元，比上年决算增加0.10万元，增长22.22%,主要原因是：本年在职人员工资基数调增，医疗缴费基数上涨，相应支出增加。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0.06万元，比上年决算增加0.06万元，增长100.00%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9.住房保障支出(类)住房改革支出(款)住房公积金(项):支出决算数为16.20万元，比上年决算增加2.97万元，增长22.45%,主要原因是：本年在职人员工资基数调增，公积金缴费基数上涨，相应支出增加。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2024年度一般公共预算财政拨款基本支出213.19万元，其中：</w:t>
      </w:r>
      <w:r>
        <w:rPr>
          <w:rFonts w:ascii="仿宋_GB2312" w:hAnsi="仿宋_GB2312" w:eastAsia="仿宋_GB2312"/>
          <w:b/>
          <w:sz w:val="32"/>
        </w:rPr>
        <w:t>人员经费201.85万元，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公用经费11.34万元，</w:t>
      </w:r>
      <w:r>
        <w:rPr>
          <w:rFonts w:ascii="仿宋_GB2312" w:hAnsi="仿宋_GB2312" w:eastAsia="仿宋_GB2312"/>
          <w:b w:val="0"/>
          <w:sz w:val="32"/>
        </w:rPr>
        <w:t>包括：办公费、印刷费、咨询费、水费、邮电费、取暖费、差旅费、培训费、劳务费、工会经费、福利费、公务用车运行维护费、其他商品和服务支出。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2024年度财政拨款“三公”经费支出3.28万元，</w:t>
      </w:r>
      <w:r>
        <w:rPr>
          <w:rFonts w:ascii="仿宋_GB2312" w:hAnsi="仿宋_GB2312" w:eastAsia="仿宋_GB2312"/>
          <w:b w:val="0"/>
          <w:sz w:val="32"/>
        </w:rPr>
        <w:t>比上年增加0.22万元，增长7.19%，主要原因是：本年加大巡逻力度，公务车运行维护费增加。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公务用车购置及运行维护费支出3.28万元，占100.00%，比上年增加0.22万元，增长7.19%，主要原因是：本年加大巡逻力度，公务车运行维护费增加。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3.28万元，其中：公务用车购置费0.00万元，公务用车运行维护费3.28万元。公务用车运行维护费开支内容包括公务用车燃料费、维修费、过路费、保险费等。公务用车购置数0辆，公务用车保有量2辆。国有资产占用情况中固定资产车辆2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3.28万元，决算数3.28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3.28万元，决算数3.28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公安局食品药品环境犯罪侦查分局天池大队（行政单位和参照公务员法管理事业单位）机关运行经费支出11.34万元，比上年减少2.94万元，下降20.59%，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2024年度政府采购支出总额0.56万元，其中：政府采购货物支出0.01万元、政府采购工程支出0.00万元、政府采购服务支出0.55万元。</w:t>
      </w:r>
    </w:p>
    <w:p>
      <w:pPr>
        <w:spacing w:line="580" w:lineRule="exact"/>
        <w:ind w:firstLine="640"/>
        <w:jc w:val="both"/>
      </w:pPr>
      <w:r>
        <w:rPr>
          <w:rFonts w:ascii="仿宋_GB2312" w:hAnsi="仿宋_GB2312" w:eastAsia="仿宋_GB2312"/>
          <w:b w:val="0"/>
          <w:sz w:val="32"/>
        </w:rPr>
        <w:t>授予中小企业合同金额0.56万元，占政府采购支出总额的100.00%，其中：授予小微企业合同金额0.56万元，占政府采购支出总额的100.00%。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440.19平方米，价值109.82万元。车辆2辆，价值39.24万元，其中：副部（省）级及以上领导用车0辆、主要负责人用车0辆、机要通信用车0辆、应急保障用车0辆、执法执勤用车2辆、特种专业技术用车0辆、离退休干部服务用车0辆、其他用车0辆，其他用车主要是：我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313.24万元，实际执行总额214.08万元；预算绩效评价项目0个，全年预算数0.00万元，全年执行数0.00万元。预算绩效管理取得的成效：一是通过预算绩效管理，规范了项目资金的使用，不断提高专项资金使用效益，加强了项目资金的管理；二是实行预算绩效管理，推进了项目的实施进度。发现的问题及原因：一是单位内控职责不够细化，项目预算的绩效设定与实际的项目支出存在些许差距，争取在今后工作中准确把握项目资金支出，达到资金的最大效益；二是部分绩效目标未能有效分解细化到内设机构和具体项目，责任主体不明确；三是目前财务工作量较大，任务繁重，为了能够适应新政府会计制度的改革实施，要进一步加大财务人员培训力度，提高业务水平和能力；四是预算执行中存在前松后紧现象，部分资金使用进度滞后。下一步改进措施：一是加大预算绩效管理培训力度，贯彻落实相关办法及制度。采取集中学习、讲座、专题会议等方式，加大对参与绩效管理工作的人员培训力度，进一步统一认识，充实业务知识。以提高工作人员素质，以达到预算绩效管理标准化、常态化的要求，最终实现提高绩效管理工作效率及质量的目标；二是将绩效管理要求深度嵌入预算编制、执行、决算及项目管理、资产等全过程，实现绩效管理与业务管理同频共振。具体附整体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昌吉回族自治州公安局食品药品环境犯罪侦查分局天池大队</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68.34%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6.83</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197.38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214.21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214.08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83.00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280.38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313.24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214.08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负责侦办辖区内制售伪劣食品药品化妆品，假冒注册商标或专利，侵犯著作权，侵犯商业秘密，污染环境，破坏野生动植物资源，妨害动植物防疫检疫道法或滥伐林木，非法占用农用地，非法采矿等违法犯罪案件。加强高风险药品生产企业监督检查，开展药品安全宣传活动，强化生态保护修复监管，依法依规开展不合格（问题）食品核查处置，达到公正执法、保护人民群众合法权益。</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313.24万元，全年执行数为214.08万元，总预算执行率为68.34%。2024年我单位完成以下工作内容：1.全年开展法律培训活动4期；2.发现案件线索和办理案件3次；3.开展食品药品快检培训1次；4.完成开展大型食药环领域专项行动2次；5.保护区巡逻次数50次；6.案件办结率100%。通过以上工作的实施，加强高风险药品生产企业监督检查，开展药品安全宣传活动，强化生态保护修复监管，依法依规开展不合格（问题）食品核查处置，达到公正执法、保护人民群众合法权益的效益。</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全年开展法律培训活动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发现案件线索和办理案件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食品药品快检培训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完成开展大型食药环领域专项行动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保护区巡逻次数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案件办结率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本年本单位SM项目1个，全年预算数0.89万元，全年执行数0.89万元。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