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昌吉回族自治州公安局食品药品环境犯罪侦查分局卡拉麦里大队2024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掌握所辖国有林区内食品药品、知识产权、生态环境、森林草原、生物安全、制售伪劣商品等领域犯罪动态，拟定预防、打击对策；侦办所辖国有林区、自然保护区内，食品药品、知识产权、生态环境、森林草原、生物安全、制售伪劣商品等领域犯罪案件；依法办理所辖国有林区内公安机关负责的上述领域的行政案件。</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昌吉回族自治州公安局食品药品环境犯罪侦查分局卡拉麦里大队2024年度，实有人数7人，其中：在职人员6人，减少1人；离休人员0人，增加0人；退休人员1人,增加1人。</w:t>
      </w:r>
    </w:p>
    <w:p>
      <w:pPr>
        <w:spacing w:line="580" w:lineRule="exact"/>
        <w:ind w:firstLine="640"/>
        <w:jc w:val="both"/>
      </w:pPr>
      <w:r>
        <w:rPr>
          <w:rFonts w:ascii="仿宋_GB2312" w:hAnsi="仿宋_GB2312" w:eastAsia="仿宋_GB2312"/>
          <w:sz w:val="32"/>
        </w:rPr>
        <w:t>昌吉回族自治州公安局食品药品环境犯罪侦查分局卡拉麦里大队无下属预算单位，下设1个科室，分别是：本单位无下设科室。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2024年度收入总计200.72万元，</w:t>
      </w:r>
      <w:r>
        <w:rPr>
          <w:rFonts w:ascii="仿宋_GB2312" w:hAnsi="仿宋_GB2312" w:eastAsia="仿宋_GB2312"/>
          <w:b w:val="0"/>
          <w:sz w:val="32"/>
        </w:rPr>
        <w:t>其中：本年收入合计164.41万元，使用非财政拨款结余（含专用结余）0.00万元，年初结转和结余36.30万元。</w:t>
      </w:r>
    </w:p>
    <w:p>
      <w:pPr>
        <w:spacing w:line="580" w:lineRule="exact"/>
        <w:ind w:firstLine="640"/>
        <w:jc w:val="both"/>
      </w:pPr>
      <w:r>
        <w:rPr>
          <w:rFonts w:ascii="仿宋_GB2312" w:hAnsi="仿宋_GB2312" w:eastAsia="仿宋_GB2312"/>
          <w:b/>
          <w:sz w:val="32"/>
        </w:rPr>
        <w:t>2024年度支出总计200.72万元，</w:t>
      </w:r>
      <w:r>
        <w:rPr>
          <w:rFonts w:ascii="仿宋_GB2312" w:hAnsi="仿宋_GB2312" w:eastAsia="仿宋_GB2312"/>
          <w:b w:val="0"/>
          <w:sz w:val="32"/>
        </w:rPr>
        <w:t>其中：本年支出合计164.36万元，结余分配0.00万元，年末结转和结余36.35万元。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增加8.22万元，增长4.27%，主要原因是：本年在职人员工资调增，社保、公积金基数调增，人员经费增加。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本年收入164.41万元，</w:t>
      </w:r>
      <w:r>
        <w:rPr>
          <w:rFonts w:ascii="仿宋_GB2312" w:hAnsi="仿宋_GB2312" w:eastAsia="仿宋_GB2312"/>
          <w:b w:val="0"/>
          <w:sz w:val="32"/>
        </w:rPr>
        <w:t>其中：财政拨款收入164.36万元，占99.97%；上级补助收入0.00万元，占0.00%；事业收入0.00万元，占0.00%；经营收入0.00万元，占0.00%；附属单位上缴收入0.00万元，占0.00%；其他收入0.05万元，占0.03%。</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本年支出164.36万元，</w:t>
      </w:r>
      <w:r>
        <w:rPr>
          <w:rFonts w:ascii="仿宋_GB2312" w:hAnsi="仿宋_GB2312" w:eastAsia="仿宋_GB2312"/>
          <w:b w:val="0"/>
          <w:sz w:val="32"/>
        </w:rPr>
        <w:t>其中：基本支出161.04万元，占97.98%；项目支出3.32万元，占2.02%；上缴上级支出0.00万元，占0.00%；经营支出0.00万元，占0.00%；对附属单位补助支出0.00万元，占0.00%。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2024年度财政拨款收入总计164.36万元，</w:t>
      </w:r>
      <w:r>
        <w:rPr>
          <w:rFonts w:ascii="仿宋_GB2312" w:hAnsi="仿宋_GB2312" w:eastAsia="仿宋_GB2312"/>
          <w:b w:val="0"/>
          <w:sz w:val="32"/>
        </w:rPr>
        <w:t>其中：年初财政拨款结转和结余0.00万元，本年财政拨款收入164.36万元。</w:t>
      </w:r>
      <w:r>
        <w:rPr>
          <w:rFonts w:ascii="仿宋_GB2312" w:hAnsi="仿宋_GB2312" w:eastAsia="仿宋_GB2312"/>
          <w:b/>
          <w:sz w:val="32"/>
        </w:rPr>
        <w:t>财政拨款支出总计164.36万元，</w:t>
      </w:r>
      <w:r>
        <w:rPr>
          <w:rFonts w:ascii="仿宋_GB2312" w:hAnsi="仿宋_GB2312" w:eastAsia="仿宋_GB2312"/>
          <w:b w:val="0"/>
          <w:sz w:val="32"/>
        </w:rPr>
        <w:t>其中：年末财政拨款结转和结余0.00万元，本年财政拨款支出164.36万元。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减少27.83万元，下降14.48%，主要原因是：本年减少结转结余-人员社保、医保经费，导致经费较上年减少。</w:t>
      </w:r>
      <w:r>
        <w:rPr>
          <w:rFonts w:ascii="仿宋_GB2312" w:hAnsi="仿宋_GB2312" w:eastAsia="仿宋_GB2312"/>
          <w:b/>
          <w:sz w:val="32"/>
        </w:rPr>
        <w:t>与年初预算相比，</w:t>
      </w:r>
      <w:r>
        <w:rPr>
          <w:rFonts w:ascii="仿宋_GB2312" w:hAnsi="仿宋_GB2312" w:eastAsia="仿宋_GB2312"/>
          <w:b w:val="0"/>
          <w:sz w:val="32"/>
        </w:rPr>
        <w:t>年初预算数166.77万元，决算数164.36万元，预决算差异率-1.45%，主要原因是：本年在职人员减少，年中调减人员经费，导致预决算存在差异。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2024年度一般公共预算财政拨款支出164.36万元，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增加8.16万元，增长5.22%，主要原因是：本年在职人员工资调增，社保、公积金基数调增，人员经费增加。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年初预算数166.77万元，决算数164.36万元，预决算差异率-1.45%，主要原因是：本年在职人员减少，年中调减人员经费，导致预决算存在差异。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1.公共安全支出(类)113.68万元,占69.17%。</w:t>
      </w:r>
    </w:p>
    <w:p>
      <w:pPr>
        <w:spacing w:line="580" w:lineRule="exact"/>
        <w:ind w:firstLine="640"/>
        <w:jc w:val="both"/>
      </w:pPr>
      <w:r>
        <w:rPr>
          <w:rFonts w:ascii="仿宋_GB2312" w:hAnsi="仿宋_GB2312" w:eastAsia="仿宋_GB2312"/>
          <w:b w:val="0"/>
          <w:sz w:val="32"/>
        </w:rPr>
        <w:t>2.社会保障和就业支出(类)30.37万元,占18.48%。</w:t>
      </w:r>
    </w:p>
    <w:p>
      <w:pPr>
        <w:spacing w:line="580" w:lineRule="exact"/>
        <w:ind w:firstLine="640"/>
        <w:jc w:val="both"/>
      </w:pPr>
      <w:r>
        <w:rPr>
          <w:rFonts w:ascii="仿宋_GB2312" w:hAnsi="仿宋_GB2312" w:eastAsia="仿宋_GB2312"/>
          <w:b w:val="0"/>
          <w:sz w:val="32"/>
        </w:rPr>
        <w:t>3.卫生健康支出(类)8.15万元,占4.96%。</w:t>
      </w:r>
    </w:p>
    <w:p>
      <w:pPr>
        <w:spacing w:line="580" w:lineRule="exact"/>
        <w:ind w:firstLine="640"/>
        <w:jc w:val="both"/>
      </w:pPr>
      <w:r>
        <w:rPr>
          <w:rFonts w:ascii="仿宋_GB2312" w:hAnsi="仿宋_GB2312" w:eastAsia="仿宋_GB2312"/>
          <w:b w:val="0"/>
          <w:sz w:val="32"/>
        </w:rPr>
        <w:t>4.住房保障支出(类)12.16万元,占7.40%。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1.公共安全支出(类)公安(款)行政运行(项):支出决算数为110.36万元，比上年决算减少5.07万元，下降4.39%,主要原因是：本年在职人员减少，人员经费减少。</w:t>
      </w:r>
    </w:p>
    <w:p>
      <w:pPr>
        <w:spacing w:line="580" w:lineRule="exact"/>
        <w:ind w:firstLine="640"/>
        <w:jc w:val="both"/>
      </w:pPr>
      <w:r>
        <w:rPr>
          <w:rFonts w:ascii="仿宋_GB2312" w:hAnsi="仿宋_GB2312" w:eastAsia="仿宋_GB2312"/>
          <w:b w:val="0"/>
          <w:sz w:val="32"/>
        </w:rPr>
        <w:t>2.公共安全支出(类)公安(款)一般行政管理事务(项):支出决算数为3.32万元，比上年决算减少13.01万元，下降79.67%,主要原因是：本年减少办公楼项目资金。</w:t>
      </w:r>
    </w:p>
    <w:p>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15.27万元，比上年决算增加8.23万元，增长116.90%,主要原因是：本年度养老缴费包含基本户、上年零余额部分资金，人员工资调增，导致养老保险缴费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15.10万元，比上年决算增加12.07万元，增长398.35%,主要原因是：本年新增退休人员，导致职业年金缴费支出增加。</w:t>
      </w:r>
    </w:p>
    <w:p>
      <w:pPr>
        <w:spacing w:line="580" w:lineRule="exact"/>
        <w:ind w:firstLine="640"/>
        <w:jc w:val="both"/>
      </w:pPr>
      <w:r>
        <w:rPr>
          <w:rFonts w:ascii="仿宋_GB2312" w:hAnsi="仿宋_GB2312" w:eastAsia="仿宋_GB2312"/>
          <w:b w:val="0"/>
          <w:sz w:val="32"/>
        </w:rPr>
        <w:t>5.卫生健康支出(类)行政事业单位医疗(款)行政单位医疗(项):支出决算数为7.64万元，比上年决算增加4.61万元，增长152.15%,主要原因是：本年度医疗缴费包含基本户、上年零余额部分资金，人员工资调增，导致单位医疗缴费支出增加。</w:t>
      </w:r>
    </w:p>
    <w:p>
      <w:pPr>
        <w:spacing w:line="580" w:lineRule="exact"/>
        <w:ind w:firstLine="640"/>
        <w:jc w:val="both"/>
      </w:pPr>
      <w:r>
        <w:rPr>
          <w:rFonts w:ascii="仿宋_GB2312" w:hAnsi="仿宋_GB2312" w:eastAsia="仿宋_GB2312"/>
          <w:b w:val="0"/>
          <w:sz w:val="32"/>
        </w:rPr>
        <w:t>6.卫生健康支出(类)行政事业单位医疗(款)公务员医疗补助(项):支出决算数为0.48万元，比上年决算增加0.27万元，增长128.57%,主要原因是：本年度医疗缴费包含基本户、上年零余额部分资金，人员工资调增，导致单位医疗缴费支出增加。</w:t>
      </w:r>
    </w:p>
    <w:p>
      <w:pPr>
        <w:spacing w:line="580" w:lineRule="exact"/>
        <w:ind w:firstLine="640"/>
        <w:jc w:val="both"/>
      </w:pPr>
      <w:r>
        <w:rPr>
          <w:rFonts w:ascii="仿宋_GB2312" w:hAnsi="仿宋_GB2312" w:eastAsia="仿宋_GB2312"/>
          <w:b w:val="0"/>
          <w:sz w:val="32"/>
        </w:rPr>
        <w:t>7.卫生健康支出(类)行政事业单位医疗(款)其他行政事业单位医疗支出(项):支出决算数为0.04万元，比上年决算增加0.04万元，增长100.00%,主要原因是：本年功能科目调整，其他行政事业单位医疗支出上年度在主科目列支，本年单独列支，导致经费较上年增加。</w:t>
      </w:r>
    </w:p>
    <w:p>
      <w:pPr>
        <w:spacing w:line="580" w:lineRule="exact"/>
        <w:ind w:firstLine="640"/>
        <w:jc w:val="both"/>
      </w:pPr>
      <w:r>
        <w:rPr>
          <w:rFonts w:ascii="仿宋_GB2312" w:hAnsi="仿宋_GB2312" w:eastAsia="仿宋_GB2312"/>
          <w:b w:val="0"/>
          <w:sz w:val="32"/>
        </w:rPr>
        <w:t>8.住房保障支出(类)住房改革支出(款)住房公积金(项):支出决算数为12.16万元，比上年决算增加1.03万元，增长9.25%,主要原因是：本年在职人员工资基数调增，公积金缴费基数上涨，相应支出增加。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2024年度一般公共预算财政拨款基本支出161.04万元，其中：</w:t>
      </w:r>
      <w:r>
        <w:rPr>
          <w:rFonts w:ascii="仿宋_GB2312" w:hAnsi="仿宋_GB2312" w:eastAsia="仿宋_GB2312"/>
          <w:b/>
          <w:sz w:val="32"/>
        </w:rPr>
        <w:t>人员经费151.56万元，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w:t>
      </w:r>
    </w:p>
    <w:p>
      <w:pPr>
        <w:spacing w:line="580" w:lineRule="exact"/>
        <w:ind w:firstLine="640"/>
        <w:jc w:val="both"/>
      </w:pPr>
      <w:r>
        <w:rPr>
          <w:rFonts w:ascii="仿宋_GB2312" w:hAnsi="仿宋_GB2312" w:eastAsia="仿宋_GB2312"/>
          <w:b/>
          <w:sz w:val="32"/>
        </w:rPr>
        <w:t>公用经费9.48万元，</w:t>
      </w:r>
      <w:r>
        <w:rPr>
          <w:rFonts w:ascii="仿宋_GB2312" w:hAnsi="仿宋_GB2312" w:eastAsia="仿宋_GB2312"/>
          <w:b w:val="0"/>
          <w:sz w:val="32"/>
        </w:rPr>
        <w:t>包括：办公费、咨询费、差旅费、培训费、被装购置费、劳务费、委托业务费、工会经费、福利费、公务用车运行维护费。</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2024年度财政拨款“三公”经费支出1.50万元，</w:t>
      </w:r>
      <w:r>
        <w:rPr>
          <w:rFonts w:ascii="仿宋_GB2312" w:hAnsi="仿宋_GB2312" w:eastAsia="仿宋_GB2312"/>
          <w:b w:val="0"/>
          <w:sz w:val="32"/>
        </w:rPr>
        <w:t>比上年增加0.00万元，增长0.00%，主要原因是：本年度“三公”经费较上年无变化。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公务用车购置及运行维护费支出1.50万元，占100.00%，比上年增加0.00万元，增长0.00%，主要原因是：本年度公务用车购置及运行维护费较上年无变化。</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1.50万元，其中：公务用车购置费0.00万元，公务用车运行维护费1.50万元。公务用车运行维护费开支内容包括公务用车燃料费、维修费、过路费、保险费等。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1.50万元，决算数1.50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1.50万元，决算数1.50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公安局食品药品环境犯罪侦查分局卡拉麦里大队（行政单位和参照公务员法管理事业单位）机关运行经费支出9.48万元，比上年增加0.02万元，增长0.21%，主要原因是：本年业务量增加，公用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2024年度政府采购支出总额0.67万元，其中：政府采购货物支出0.00万元、政府采购工程支出0.00万元、政府采购服务支出0.67万元。</w:t>
      </w:r>
    </w:p>
    <w:p>
      <w:pPr>
        <w:spacing w:line="580" w:lineRule="exact"/>
        <w:ind w:firstLine="640"/>
        <w:jc w:val="both"/>
      </w:pPr>
      <w:r>
        <w:rPr>
          <w:rFonts w:ascii="仿宋_GB2312" w:hAnsi="仿宋_GB2312" w:eastAsia="仿宋_GB2312"/>
          <w:b w:val="0"/>
          <w:sz w:val="32"/>
        </w:rPr>
        <w:t>授予中小企业合同金额0.67万元，占政府采购支出总额的100.00%，其中：授予小微企业合同金额0.67万元，占政府采购支出总额的100.00%。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辆，价值20.34万元，其中：副部（省）级及以上领导用车0辆、主要负责人用车0辆、机要通信用车0辆、应急保障用车0辆、执法执勤用车1辆、特种专业技术用车0辆、离退休干部服务用车0辆、其他用车0辆，其他用车主要是：我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200.72万元，实际执行总额164.36万元；预算绩效评价项目0个，全年预算数0.00万元，全年执行数0.00万元。预算绩效管理取得的成效：一是通过预算绩效管理，规范了项目资金的使用，不断提高专项资金使用效益，加强了项目资金的管理；二是实行预算绩效管理，推进了项目的实施进度。发现的问题及原因：一是单位内控职责不够细化，项目预算的绩效设定与实际的项目支出存在些许差距，争取在今后工作中准确把握项目资金支出，达到资金的最大效益；二是部分绩效目标未能有效分解细化到内设机构和具体项目，责任主体不明确；三是目前财务工作量较大，任务繁重，为了能够适应新政府会计制度的改革实施，要进一步加大财务人员培训力度，提高业务水平和能力；四是预算执行中存在前松后紧现象，部分资金使用进度滞后。下一步改进措施：一是加大预算绩效管理培训力度，贯彻落实相关办法及制度。采取集中学习、讲座、专题会议等方式，加大对参与绩效管理工作的人员培训力度，进一步统一认识，充实业务知识。以提高工作人员素质，以达到预算绩效管理标准化、常态化的要求，最终实现提高绩效管理工作效率及质量的目标；二是将绩效管理要求深度嵌入预算编制、执行、决算及项目管理、资产等全过程，实现绩效管理与业务管理同频共振。具体附整体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昌吉回族自治州公安局食品药品环境犯罪侦查分局卡拉麦里大队</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81.89%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8.82</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166.77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164.41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164.36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36.31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199.77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200.72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164.36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负责侦办辖区内制售伪劣食品药品化妆品，假冒注册商标或专利，侵犯著作权，侵犯商业秘密，污染环境，破坏野生动植物资源，妨害动植物防疫检疫道法或滥伐林木，非法占用农用地，非法采矿等违法犯罪案件。加强高风险药品生产企业监督检查，开展药品安全宣传活动，强化生态保护修复监管，依法依规开展不合格（问题）食品核查处置，达到公正执法、保护人民群众合法权益。</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200.72万元，全年执行数为164.36万元，总预算执行率为81.89%。2024年我单位完成以下工作内容：1.全年开展法律培训活动2期；2.发现案件线索和办理案件3起；3.开展食品药品快检培训1次；4.完成开展大型食药环领域专项行动2次；5.案件办结率100%；6.林区巡逻次数50次。通过以上工作的实施，加强高风险药品生产企业监督检查，开展药品安全宣传活动，强化生态保护修复监管，依法依规开展不合格（问题）食品核查处置，达到公正执法、保护人民群众合法权益的效益。</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全年开展法律培训活动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发现案件线索和办理案件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食品药品快检培训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完成开展大型食药环领域专项行动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案件办结率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林区巡逻次数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66次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本年本单位SM项目2个，全年预算数3.32万元，全年执行数3.32万元。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