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昌吉回族自治州公安局食品药品环境犯罪侦查分局2024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掌握全州食品药品、知识产权、生态环境、森林草原、生物安全、制售伪劣商品等领域犯罪动态，拟定预防、打击对策；组织、指导、协调，监督全州公安机关开展对食品药品、知识产权、生态环境、森林草原、生物安全、制售伪劣商品等领域犯罪案件的侦查工作；侦办自治州范围内有重大影响的相关领域犯罪案件，依法办理自治州范围内上述领域有重大影响的由公安机关负责的行政案件。</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昌吉回族自治州公安局食品药品环境犯罪侦查分局2024年度，实有人数28人，其中：在职人员20人，减少1人；离休人员0人，增加0人；退休人员8人,增加1人。</w:t>
      </w:r>
    </w:p>
    <w:p>
      <w:pPr>
        <w:spacing w:line="580" w:lineRule="exact"/>
        <w:ind w:firstLine="640"/>
        <w:jc w:val="both"/>
      </w:pPr>
      <w:r>
        <w:rPr>
          <w:rFonts w:ascii="仿宋_GB2312" w:hAnsi="仿宋_GB2312" w:eastAsia="仿宋_GB2312"/>
          <w:sz w:val="32"/>
        </w:rPr>
        <w:t>昌吉回族自治州公安局食品药品环境犯罪侦查分局无下属预算单位，下设4个科室，分别是：综合执法大队、生态环境犯罪侦察大队、食品药品犯罪侦察大队、治安（知识产权犯罪侦察）大队。</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2024年度收入总计544.26万元，</w:t>
      </w:r>
      <w:r>
        <w:rPr>
          <w:rFonts w:ascii="仿宋_GB2312" w:hAnsi="仿宋_GB2312" w:eastAsia="仿宋_GB2312"/>
          <w:b w:val="0"/>
          <w:sz w:val="32"/>
        </w:rPr>
        <w:t>其中：本年收入合计544.07万元，使用非财政拨款结余（含专用结余）0.00万元，年初结转和结余0.20万元。</w:t>
      </w:r>
    </w:p>
    <w:p>
      <w:pPr>
        <w:spacing w:line="580" w:lineRule="exact"/>
        <w:ind w:firstLine="640"/>
        <w:jc w:val="both"/>
      </w:pPr>
      <w:r>
        <w:rPr>
          <w:rFonts w:ascii="仿宋_GB2312" w:hAnsi="仿宋_GB2312" w:eastAsia="仿宋_GB2312"/>
          <w:b/>
          <w:sz w:val="32"/>
        </w:rPr>
        <w:t>2024年度支出总计544.26万元，</w:t>
      </w:r>
      <w:r>
        <w:rPr>
          <w:rFonts w:ascii="仿宋_GB2312" w:hAnsi="仿宋_GB2312" w:eastAsia="仿宋_GB2312"/>
          <w:b w:val="0"/>
          <w:sz w:val="32"/>
        </w:rPr>
        <w:t>其中：本年支出合计544.02万元，结余分配0.00万元，年末结转和结余0.25万元。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42.52万元，增长8.47%，主要原因是：本年在职人员工资调增，社保、公积金基数调增，人员经费增加。本年新增昌吉回族自治州公安局食品药品环境犯罪侦查分局维修项目、执法办案业务办公费，购买鉴定使用试剂专用材料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本年收入544.07万元，</w:t>
      </w:r>
      <w:r>
        <w:rPr>
          <w:rFonts w:ascii="仿宋_GB2312" w:hAnsi="仿宋_GB2312" w:eastAsia="仿宋_GB2312"/>
          <w:b w:val="0"/>
          <w:sz w:val="32"/>
        </w:rPr>
        <w:t>其中：财政拨款收入544.02万元，占99.99%；上级补助收入0.00万元，占0.00%；事业收入0.00万元，占0.00%；经营收入0.00万元，占0.00%；附属单位上缴收入0.00万元，占0.00%；其他收入0.05万元，占0.009%。</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本年支出544.02万元，</w:t>
      </w:r>
      <w:r>
        <w:rPr>
          <w:rFonts w:ascii="仿宋_GB2312" w:hAnsi="仿宋_GB2312" w:eastAsia="仿宋_GB2312"/>
          <w:b w:val="0"/>
          <w:sz w:val="32"/>
        </w:rPr>
        <w:t>其中：基本支出495.70万元，占91.12%；项目支出48.32万元，占8.88%；上缴上级支出0.00万元，占0.00%；经营支出0.00万元，占0.00%；对附属单位补助支出0.00万元，占0.00%。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2024年度财政拨款收入总计544.02万元，</w:t>
      </w:r>
      <w:r>
        <w:rPr>
          <w:rFonts w:ascii="仿宋_GB2312" w:hAnsi="仿宋_GB2312" w:eastAsia="仿宋_GB2312"/>
          <w:b w:val="0"/>
          <w:sz w:val="32"/>
        </w:rPr>
        <w:t>其中：年初财政拨款结转和结余0.00万元，本年财政拨款收入544.02万元。</w:t>
      </w:r>
      <w:r>
        <w:rPr>
          <w:rFonts w:ascii="仿宋_GB2312" w:hAnsi="仿宋_GB2312" w:eastAsia="仿宋_GB2312"/>
          <w:b/>
          <w:sz w:val="32"/>
        </w:rPr>
        <w:t>财政拨款支出总计544.02万元，</w:t>
      </w:r>
      <w:r>
        <w:rPr>
          <w:rFonts w:ascii="仿宋_GB2312" w:hAnsi="仿宋_GB2312" w:eastAsia="仿宋_GB2312"/>
          <w:b w:val="0"/>
          <w:sz w:val="32"/>
        </w:rPr>
        <w:t>其中：年末财政拨款结转和结余0.00万元，本年财政拨款支出544.02万元。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42.48万元，增长8.47%，主要原因是：本年在职人员工资调增，社保、公积金基数调增，人员经费增加。本年新增昌吉回族自治州公安局食品药品环境犯罪侦查分局维修项目、执法办案业务办公费，购买鉴定使用试剂专用材料费。</w:t>
      </w:r>
      <w:r>
        <w:rPr>
          <w:rFonts w:ascii="仿宋_GB2312" w:hAnsi="仿宋_GB2312" w:eastAsia="仿宋_GB2312"/>
          <w:b/>
          <w:sz w:val="32"/>
        </w:rPr>
        <w:t>与年初预算相比，</w:t>
      </w:r>
      <w:r>
        <w:rPr>
          <w:rFonts w:ascii="仿宋_GB2312" w:hAnsi="仿宋_GB2312" w:eastAsia="仿宋_GB2312"/>
          <w:b w:val="0"/>
          <w:sz w:val="32"/>
        </w:rPr>
        <w:t>年初预算数501.46万元，决算数544.02万元，预决算差异率8.49%，主要原因是：年中追加人员工资、社保、公积金基数调增部分资金及昌吉回族自治州公安局食品药品环境犯罪侦查分局维修项目、执法办案业务办公费，购买鉴定使用试剂专用材料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2024年度一般公共预算财政拨款支出544.02万元，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42.48万元，增长8.47%，主要原因是：本年在职人员工资调增，社保、公积金基数调增，人员经费增加。本年新增昌吉回族自治州公安局食品药品环境犯罪侦查分局维修项目、执法办案业务办公费，购买鉴定使用试剂专用材料费。</w:t>
      </w:r>
      <w:r>
        <w:rPr>
          <w:rFonts w:ascii="仿宋_GB2312" w:hAnsi="仿宋_GB2312" w:eastAsia="仿宋_GB2312"/>
          <w:b/>
          <w:sz w:val="32"/>
        </w:rPr>
        <w:t>与年初预算相比,</w:t>
      </w:r>
      <w:r>
        <w:rPr>
          <w:rFonts w:ascii="仿宋_GB2312" w:hAnsi="仿宋_GB2312" w:eastAsia="仿宋_GB2312"/>
          <w:b w:val="0"/>
          <w:sz w:val="32"/>
        </w:rPr>
        <w:t>年初预算数501.46万元，决算数544.02万元，预决算差异率8.49%，主要原因是：年中追加人员工资、社保、公积金基数调增部分资金及昌吉回族自治州公安局食品药品环境犯罪侦查分局维修项目、执法办案业务办公费，购买鉴定使用试剂专用材料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1.公共安全支出(类)423.58万元,占77.86%。</w:t>
      </w:r>
    </w:p>
    <w:p>
      <w:pPr>
        <w:spacing w:line="580" w:lineRule="exact"/>
        <w:ind w:firstLine="640"/>
        <w:jc w:val="both"/>
      </w:pPr>
      <w:r>
        <w:rPr>
          <w:rFonts w:ascii="仿宋_GB2312" w:hAnsi="仿宋_GB2312" w:eastAsia="仿宋_GB2312"/>
          <w:b w:val="0"/>
          <w:sz w:val="32"/>
        </w:rPr>
        <w:t>2.社会保障和就业支出(类)65.36万元,占12.01%。</w:t>
      </w:r>
    </w:p>
    <w:p>
      <w:pPr>
        <w:spacing w:line="580" w:lineRule="exact"/>
        <w:ind w:firstLine="640"/>
        <w:jc w:val="both"/>
      </w:pPr>
      <w:r>
        <w:rPr>
          <w:rFonts w:ascii="仿宋_GB2312" w:hAnsi="仿宋_GB2312" w:eastAsia="仿宋_GB2312"/>
          <w:b w:val="0"/>
          <w:sz w:val="32"/>
        </w:rPr>
        <w:t>3.卫生健康支出(类)20.97万元,占3.85%。</w:t>
      </w:r>
    </w:p>
    <w:p>
      <w:pPr>
        <w:spacing w:line="580" w:lineRule="exact"/>
        <w:ind w:firstLine="640"/>
        <w:jc w:val="both"/>
      </w:pPr>
      <w:r>
        <w:rPr>
          <w:rFonts w:ascii="仿宋_GB2312" w:hAnsi="仿宋_GB2312" w:eastAsia="仿宋_GB2312"/>
          <w:b w:val="0"/>
          <w:sz w:val="32"/>
        </w:rPr>
        <w:t>4.住房保障支出(类)34.11万元,占6.27%。</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1.公共安全支出(类)公安(款)行政运行(项):支出决算数为375.26万元，比上年决算增加9.38万元，增长2.56%,主要原因是：本年在职人员工资调增，相关人员经费增加。</w:t>
      </w:r>
    </w:p>
    <w:p>
      <w:pPr>
        <w:spacing w:line="580" w:lineRule="exact"/>
        <w:ind w:firstLine="640"/>
        <w:jc w:val="both"/>
      </w:pPr>
      <w:r>
        <w:rPr>
          <w:rFonts w:ascii="仿宋_GB2312" w:hAnsi="仿宋_GB2312" w:eastAsia="仿宋_GB2312"/>
          <w:b w:val="0"/>
          <w:sz w:val="32"/>
        </w:rPr>
        <w:t>2.公共安全支出(类)公安(款)一般行政管理事务(项):支出决算数为48.32万元，比上年决算增加33.62万元，增长228.71%,主要原因是：本年新增昌吉回族自治州公安局食品药品环境犯罪侦查分局维修项目、本年执法办案业务办公费、购买鉴定使用试剂专用材料费。</w:t>
      </w:r>
    </w:p>
    <w:p>
      <w:pPr>
        <w:spacing w:line="580" w:lineRule="exact"/>
        <w:ind w:firstLine="640"/>
        <w:jc w:val="both"/>
      </w:pPr>
      <w:r>
        <w:rPr>
          <w:rFonts w:ascii="仿宋_GB2312" w:hAnsi="仿宋_GB2312" w:eastAsia="仿宋_GB2312"/>
          <w:b w:val="0"/>
          <w:sz w:val="32"/>
        </w:rPr>
        <w:t>3.社会保障和就业支出(类)行政事业单位养老支出(款)行政单位离退休(项):支出决算数为4.41万元，比上年决算增加1.89万元，增长75.00%,主要原因是：本年新增退休人员1名，相应离退休费增加。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38.44万元，比上年决算增加2.35万元，增长6.51%,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22.52万元，比上年决算减少3.84万元，下降14.57%,主要原因是：本年新增退休人员基数较上年退休人员低，导致职业年金缴费支出减少。</w:t>
      </w:r>
    </w:p>
    <w:p>
      <w:pPr>
        <w:spacing w:line="580" w:lineRule="exact"/>
        <w:ind w:firstLine="640"/>
        <w:jc w:val="both"/>
      </w:pPr>
      <w:r>
        <w:rPr>
          <w:rFonts w:ascii="仿宋_GB2312" w:hAnsi="仿宋_GB2312" w:eastAsia="仿宋_GB2312"/>
          <w:b w:val="0"/>
          <w:sz w:val="32"/>
        </w:rPr>
        <w:t>6.卫生健康支出(类)行政事业单位医疗(款)行政单位医疗(项):支出决算数为19.94万元，比上年决算减少1.78万元，下降8.20%,主要原因是：本年在职人员减少，行政单位医疗支出较上年减少。</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7.卫生健康支出(类)行政事业单位医疗(款)公务员医疗补助(项):支出决算数为0.86万元，比上年决算减少0.36万元，下降29.51%,主要原因是：本年在职人员减少，公务员医疗补助支出较上年减少。</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8.卫生健康支出(类)行政事业单位医疗(款)其他行政事业单位医疗支出(项):支出决算数为0.17万元，比上年决算增加0.06万元，增长54.55%,主要原因是：本年在职人员工资基数调增，医疗缴费基数上涨，相应支出增加。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9.住房保障支出(类)住房改革支出(款)住房公积金(项):支出决算数为34.11万元，比上年决算增加1.18万元，增长3.58%,主要原因是：本年在职人员工资基数调增，公积金缴费基数上涨，相应支出增加。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2024年度一般公共预算财政拨款基本支出495.70万元，其中：</w:t>
      </w:r>
      <w:r>
        <w:rPr>
          <w:rFonts w:ascii="仿宋_GB2312" w:hAnsi="仿宋_GB2312" w:eastAsia="仿宋_GB2312"/>
          <w:b/>
          <w:sz w:val="32"/>
        </w:rPr>
        <w:t>人员经费448.37万元，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其他工资福利支出、退休费、生活补助、奖励金。</w:t>
      </w:r>
    </w:p>
    <w:p>
      <w:pPr>
        <w:spacing w:line="580" w:lineRule="exact"/>
        <w:ind w:firstLine="640"/>
        <w:jc w:val="both"/>
      </w:pPr>
      <w:r>
        <w:rPr>
          <w:rFonts w:ascii="仿宋_GB2312" w:hAnsi="仿宋_GB2312" w:eastAsia="仿宋_GB2312"/>
          <w:b/>
          <w:sz w:val="32"/>
        </w:rPr>
        <w:t>公用经费47.33万元，</w:t>
      </w:r>
      <w:r>
        <w:rPr>
          <w:rFonts w:ascii="仿宋_GB2312" w:hAnsi="仿宋_GB2312" w:eastAsia="仿宋_GB2312"/>
          <w:b w:val="0"/>
          <w:sz w:val="32"/>
        </w:rPr>
        <w:t>包括：办公费、印刷费、水费、电费、邮电费、取暖费、差旅费、维修（护）费、培训费、劳务费、工会经费、福利费、公务用车运行维护费、其他商品和服务支出。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2024年度财政拨款“三公”经费支出7.19万元，</w:t>
      </w:r>
      <w:r>
        <w:rPr>
          <w:rFonts w:ascii="仿宋_GB2312" w:hAnsi="仿宋_GB2312" w:eastAsia="仿宋_GB2312"/>
          <w:b w:val="0"/>
          <w:sz w:val="32"/>
        </w:rPr>
        <w:t>比上年减少0.58万元，下降7.46%，主要原因是：严格落实中央八项规定精神，厉行节约，减少公务用车运行维护费。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公务用车购置及运行维护费支出7.19万元，占100.00%，比上年减少0.58万元，下降7.46%，主要原因是：严格落实中央八项规定精神，厉行节约，减少公务用车运行维护费。</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7.19万元，其中：公务用车购置费0.00万元，公务用车运行维护费7.19万元。公务用车运行维护费开支内容包括公务用车燃料费、维修费、过路费、保险费等。公务用车购置数0辆，公务用车保有量7辆。国有资产占用情况中固定资产车辆7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7.19万元，决算数7.19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7.19万元，决算数7.19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公安局食品药品环境犯罪侦查分局（行政单位和参照公务员法管理事业单位）机关运行经费支出47.33万元，比上年减少8.40万元，下降15.07%，主要原因是：本年度辖区内案件数量减少，相应办公费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2024年度政府采购支出总额6.59万元，其中：政府采购货物支出0.42万元、政府采购工程支出0.00万元、政府采购服务支出6.17万元。</w:t>
      </w:r>
    </w:p>
    <w:p>
      <w:pPr>
        <w:spacing w:line="580" w:lineRule="exact"/>
        <w:ind w:firstLine="640"/>
        <w:jc w:val="both"/>
      </w:pPr>
      <w:r>
        <w:rPr>
          <w:rFonts w:ascii="仿宋_GB2312" w:hAnsi="仿宋_GB2312" w:eastAsia="仿宋_GB2312"/>
          <w:b w:val="0"/>
          <w:sz w:val="32"/>
        </w:rPr>
        <w:t>授予中小企业合同金额6.59万元，占政府采购支出总额的100.00%，其中：授予小微企业合同金额6.59万元，占政府采购支出总额的100.00%。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7辆，价值165.81万元，其中：副部（省）级及以上领导用车0辆、主要负责人用车0辆、机要通信用车0辆、应急保障用车0辆、执法执勤用车6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544.26万元，实际执行总额544.02万元；预算绩效评价项目0个，全年预算数0.00万元，全年执行数0.00万元。预算绩效管理取得的成效：一是通过预算绩效管理，规范了项目资金的使用，不断提高专项资金使用效益，加强了项目资金的管理；二是实行预算绩效管理，推进了项目的实施进度。发现的问题及原因：一是单位内控职责不够细化，项目预算的绩效设定与实际的项目支出存在些许差距，争取在今后工作中准确把握项目资金支出，达到资金的最大效益；二是部分绩效目标未能有效分解细化到内设机构和具体项目，责任主体不明确；三是目前财务工作量较大，任务繁重，为了能够适应新政府会计制度的改革实施，要进一步加大财务人员培训力度，提高业务水平和能力；四是预算执行中存在前松后紧现象，部分资金使用进度滞后。下一步改进措施：一是加大预算绩效管理培训力度，贯彻落实相关办法及制度。采取集中学习、讲座、专题会议等方式，加大对参与绩效管理工作的人员培训力度，进一步统一认识，充实业务知识。以提高工作人员素质，以达到预算绩效管理标准化、常态化的要求，最终实现提高绩效管理工作效率及质量的目标；二是将绩效管理要求深度嵌入预算编制、执行、决算及项目管理、资产等全过程，实现绩效管理与业务管理同频共振。具体附整体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昌吉回族自治州公安局食品药品环境犯罪侦查分局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501.46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544.06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544.02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501.46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544.26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544.02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负责侦办辖区内制售伪劣食品药品化妆品，假冒注册商标或专利，侵犯著作权，侵犯商业秘密，污染环境，破坏野生动植物资源，妨害动植物防疫检疫道法或滥伐林木，非法占用农用地，非法采矿等违法犯罪案件。加强高风险药品生产企业监督检查，开展药品安全宣传活动，强化生态保护修复监管，依法依规开展不合格（问题）食品核查处置，达到公正执法、保护人民群众合法权益。</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544.26万元，全年执行数为544.02万元，总预算执行率为99.96%。2024年我单位完成以下工作内容：1.全年开展法律培训活动4期；2.发现案件线索和指导协助协调各县市食药环办案50起；3.开展食品药品快检培训1次；4.完成开展大型食药环领域专项行动3次；5.快检试剂检测盒购买30盒；6.检验鉴定次数10次。通过以上工作的实施，加强高风险药品生产企业监督检查，开展药品安全宣传活动，强化生态保护修复监管，依法依规开展不合格（问题）食品核查处置，达到公正执法、保护人民群众合法权益的效益。</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全年开展法律培训活动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发现案件线索和指导协助协调各县市食药环办案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&gt;=50起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62起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食品药品快检培训</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完成开展大型食药环领域专项行动</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快检试剂检测盒购买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40盒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检验鉴定次数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本年本单位SM项目2个，全年预算数48.32万元，全年执行数48.32万元。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