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昌吉回族自治州工业和信息化局2024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工信局是政府工作部门，为正县级。单位主要负责组贯彻执行国家、自治区工业和信息化的法律法规和方针政策，提出工业和信息化发展规划政策建议；拟订自治州工业和信息化发展规划；贯彻落实国家、自治区产业政策，指导产业合理布局和结构调整；负责自治州工业经济运行，拟订工业经济运行调控目标，监测分析工业经济运行态势；负责协调石油开发建设与地方关系；负责自治州工业和信息化领域各行业的管理；负责盐业行业管理；负责自治州工业和信息产业及信息化建设技术改造投资管理；负责贯彻落实工业和信息化领域技术创新政策措施，培育和发展战略性新兴产业；指导自治州工业和信息化领域体制改革和管理创新；贯彻落实促进中小企业发展的相关政策措施并组织实施，负责对中小企业的宏观指导和服务；贯彻落实工业和信息化领域资源节约和综合利用规划、政策；负责民爆行业管理；负责推进信息化工作、指导电子信息产业发展等；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昌吉回族自治州工业和信息化局2024年度，实有人数74人，其中：在职人员27人，减少6人；离休人员1人，增加0人；退休人员46人,增加1人。</w:t>
      </w:r>
    </w:p>
    <w:p>
      <w:pPr>
        <w:spacing w:line="580" w:lineRule="exact"/>
        <w:ind w:firstLine="640"/>
        <w:jc w:val="both"/>
      </w:pPr>
      <w:r>
        <w:rPr>
          <w:rFonts w:ascii="仿宋_GB2312" w:hAnsi="仿宋_GB2312" w:eastAsia="仿宋_GB2312"/>
          <w:sz w:val="32"/>
        </w:rPr>
        <w:t>昌吉回族自治州工业和信息化局无下属预算单位，下设9个科室，分别是：办公室（组织人事科）、综合业务科、规划投资与产业政策（行政审批科）、电子信息及信息化发展科、装备与科技质量科、园区管理科、企业指导与安全生产科、节能与综合利用科、昌吉州电力执法支队。</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2024年度收入总计2,751.07万元，</w:t>
      </w:r>
      <w:r>
        <w:rPr>
          <w:rFonts w:ascii="仿宋_GB2312" w:hAnsi="仿宋_GB2312" w:eastAsia="仿宋_GB2312"/>
          <w:b w:val="0"/>
          <w:sz w:val="32"/>
        </w:rPr>
        <w:t>其中：本年收入合计2,751.07万元，使用非财政拨款结余（含专用结余）0.00万元，年初结转和结余0.00万元。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2024年度支出总计2,751.07万元，</w:t>
      </w:r>
      <w:r>
        <w:rPr>
          <w:rFonts w:ascii="仿宋_GB2312" w:hAnsi="仿宋_GB2312" w:eastAsia="仿宋_GB2312"/>
          <w:b w:val="0"/>
          <w:sz w:val="32"/>
        </w:rPr>
        <w:t>其中：本年支出合计2,751.07万元，结余分配0.00万元，年末结转和结余0.00万元。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增加222.20万元，增长8.79%，主要原因是：本年增加2024年自治区第十批地方政府债券转贷资金、  2024年中小企业数字化转型城市试点（第一批）奖补资金等项目。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本年收入2,751.07万元，</w:t>
      </w:r>
      <w:r>
        <w:rPr>
          <w:rFonts w:ascii="仿宋_GB2312" w:hAnsi="仿宋_GB2312" w:eastAsia="仿宋_GB2312"/>
          <w:b w:val="0"/>
          <w:sz w:val="32"/>
        </w:rPr>
        <w:t>其中：财政拨款收入2,613.03万元，占94.98%；上级补助收入0.00万元，占0.00%；事业收入0.00万元，占0.00%；经营收入0.00万元，占0.00%；附属单位上缴收入0.00万元，占0.00%；其他收入138.04万元，占5.02%。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本年支出2,751.07万元，</w:t>
      </w:r>
      <w:r>
        <w:rPr>
          <w:rFonts w:ascii="仿宋_GB2312" w:hAnsi="仿宋_GB2312" w:eastAsia="仿宋_GB2312"/>
          <w:b w:val="0"/>
          <w:sz w:val="32"/>
        </w:rPr>
        <w:t>其中：基本支出702.37万元，占25.53%；项目支出2,048.70万元，占74.47%；上缴上级支出0.00万元，占0.00%；经营支出0.00万元，占0.00%；对附属单位补助支出0.00万元，占0.00%。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2024年度财政拨款收入总计2,613.03万元，</w:t>
      </w:r>
      <w:r>
        <w:rPr>
          <w:rFonts w:ascii="仿宋_GB2312" w:hAnsi="仿宋_GB2312" w:eastAsia="仿宋_GB2312"/>
          <w:b w:val="0"/>
          <w:sz w:val="32"/>
        </w:rPr>
        <w:t>其中：年初财政拨款结转和结余0.00万元，本年财政拨款收入2,613.03万元。</w:t>
      </w:r>
      <w:r>
        <w:rPr>
          <w:rFonts w:ascii="仿宋_GB2312" w:hAnsi="仿宋_GB2312" w:eastAsia="仿宋_GB2312"/>
          <w:b/>
          <w:sz w:val="32"/>
        </w:rPr>
        <w:t>财政拨款支出总计2,613.03万元，</w:t>
      </w:r>
      <w:r>
        <w:rPr>
          <w:rFonts w:ascii="仿宋_GB2312" w:hAnsi="仿宋_GB2312" w:eastAsia="仿宋_GB2312"/>
          <w:b w:val="0"/>
          <w:sz w:val="32"/>
        </w:rPr>
        <w:t>其中：年末财政拨款结转和结余0.00万元，本年财政拨款支出2,613.03万元。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增加205.73万元，增长8.55%，主要原因是：本年增加2024年自治区第十批地方政府债券转贷资金、  2024年中小企业数字化转型城市试点（第一批）奖补资金等项目。</w:t>
      </w:r>
      <w:r>
        <w:rPr>
          <w:rFonts w:ascii="仿宋_GB2312" w:hAnsi="仿宋_GB2312" w:eastAsia="仿宋_GB2312"/>
          <w:b/>
          <w:sz w:val="32"/>
        </w:rPr>
        <w:t>与年初预算相比，</w:t>
      </w:r>
      <w:r>
        <w:rPr>
          <w:rFonts w:ascii="仿宋_GB2312" w:hAnsi="仿宋_GB2312" w:eastAsia="仿宋_GB2312"/>
          <w:b w:val="0"/>
          <w:sz w:val="32"/>
        </w:rPr>
        <w:t>年初预算数798.53万元，决算数2,613.03万元，预决算差异率227.23%，主要原因是：年中追加2024年自治区第十批地方政府债券转贷资金、  2024年中小企业数字化转型城市试点（第一批）奖补资金项目，导致预决算存在差异。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2024年度一般公共预算财政拨款支出2,613.03万元，</w:t>
      </w:r>
      <w:r>
        <w:rPr>
          <w:rFonts w:ascii="仿宋_GB2312" w:hAnsi="仿宋_GB2312" w:eastAsia="仿宋_GB2312"/>
          <w:b w:val="0"/>
          <w:sz w:val="32"/>
        </w:rPr>
        <w:t>占本年支出合计的94.98%。</w:t>
      </w:r>
      <w:r>
        <w:rPr>
          <w:rFonts w:ascii="仿宋_GB2312" w:hAnsi="仿宋_GB2312" w:eastAsia="仿宋_GB2312"/>
          <w:b/>
          <w:sz w:val="32"/>
        </w:rPr>
        <w:t>与上年相比，</w:t>
      </w:r>
      <w:r>
        <w:rPr>
          <w:rFonts w:ascii="仿宋_GB2312" w:hAnsi="仿宋_GB2312" w:eastAsia="仿宋_GB2312"/>
          <w:b w:val="0"/>
          <w:sz w:val="32"/>
        </w:rPr>
        <w:t>增加205.73万元，增长8.55%，主要原因是：本年增加2024年自治区第十批地方政府债券转贷资金、  2024年中小企业数字化转型城市试点（第一批）奖补资金等项目。</w:t>
      </w:r>
      <w:r>
        <w:rPr>
          <w:rFonts w:ascii="仿宋_GB2312" w:hAnsi="仿宋_GB2312" w:eastAsia="仿宋_GB2312"/>
          <w:b/>
          <w:sz w:val="32"/>
        </w:rPr>
        <w:t>与年初预算相比,</w:t>
      </w:r>
      <w:r>
        <w:rPr>
          <w:rFonts w:ascii="仿宋_GB2312" w:hAnsi="仿宋_GB2312" w:eastAsia="仿宋_GB2312"/>
          <w:b w:val="0"/>
          <w:sz w:val="32"/>
        </w:rPr>
        <w:t>年初预算数798.53万元，决算数2,613.03万元，预决算差异率227.23%，主要原因是：年中追加2024年自治区第十批地方政府债券转贷资金、  2024年中小企业数字化转型城市试点（第一批）奖补资金项目，导致预决算存在差异。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1.一般公共服务支出(类)884.61万元,占33.85%。</w:t>
      </w:r>
    </w:p>
    <w:p>
      <w:pPr>
        <w:spacing w:line="580" w:lineRule="exact"/>
        <w:ind w:firstLine="640"/>
        <w:jc w:val="both"/>
      </w:pPr>
      <w:r>
        <w:rPr>
          <w:rFonts w:ascii="仿宋_GB2312" w:hAnsi="仿宋_GB2312" w:eastAsia="仿宋_GB2312"/>
          <w:b w:val="0"/>
          <w:sz w:val="32"/>
        </w:rPr>
        <w:t>2.社会保障和就业支出(类)126.96万元,占4.86%。</w:t>
      </w:r>
    </w:p>
    <w:p>
      <w:pPr>
        <w:spacing w:line="580" w:lineRule="exact"/>
        <w:ind w:firstLine="640"/>
        <w:jc w:val="both"/>
      </w:pPr>
      <w:r>
        <w:rPr>
          <w:rFonts w:ascii="仿宋_GB2312" w:hAnsi="仿宋_GB2312" w:eastAsia="仿宋_GB2312"/>
          <w:b w:val="0"/>
          <w:sz w:val="32"/>
        </w:rPr>
        <w:t>3.卫生健康支出(类)28.70万元,占1.10%。</w:t>
      </w:r>
    </w:p>
    <w:p>
      <w:pPr>
        <w:spacing w:line="580" w:lineRule="exact"/>
        <w:ind w:firstLine="640"/>
        <w:jc w:val="both"/>
      </w:pPr>
      <w:r>
        <w:rPr>
          <w:rFonts w:ascii="仿宋_GB2312" w:hAnsi="仿宋_GB2312" w:eastAsia="仿宋_GB2312"/>
          <w:b w:val="0"/>
          <w:sz w:val="32"/>
        </w:rPr>
        <w:t>4.资源勘探工业信息等支出(类)1,489.00万元,占56.98%。</w:t>
      </w:r>
    </w:p>
    <w:p>
      <w:pPr>
        <w:spacing w:line="580" w:lineRule="exact"/>
        <w:ind w:firstLine="640"/>
        <w:jc w:val="both"/>
      </w:pPr>
      <w:r>
        <w:rPr>
          <w:rFonts w:ascii="仿宋_GB2312" w:hAnsi="仿宋_GB2312" w:eastAsia="仿宋_GB2312"/>
          <w:b w:val="0"/>
          <w:sz w:val="32"/>
        </w:rPr>
        <w:t>5.住房保障支出(类)42.62万元,占1.63%。</w:t>
      </w:r>
    </w:p>
    <w:p>
      <w:pPr>
        <w:spacing w:line="580" w:lineRule="exact"/>
        <w:ind w:firstLine="640"/>
        <w:jc w:val="both"/>
      </w:pPr>
      <w:r>
        <w:rPr>
          <w:rFonts w:ascii="仿宋_GB2312" w:hAnsi="仿宋_GB2312" w:eastAsia="仿宋_GB2312"/>
          <w:b w:val="0"/>
          <w:sz w:val="32"/>
        </w:rPr>
        <w:t>6.灾害防治及应急管理支出(类)32.50万元,占1.24%。</w:t>
      </w:r>
    </w:p>
    <w:p>
      <w:pPr>
        <w:spacing w:line="580" w:lineRule="exact"/>
        <w:ind w:firstLine="640"/>
        <w:jc w:val="both"/>
      </w:pPr>
      <w:r>
        <w:rPr>
          <w:rFonts w:ascii="仿宋_GB2312" w:hAnsi="仿宋_GB2312" w:eastAsia="仿宋_GB2312"/>
          <w:b w:val="0"/>
          <w:sz w:val="32"/>
        </w:rPr>
        <w:t>7.其他支出(类)8.63万元,占0.33%。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1.一般公共服务支出(类)商贸事务(款)行政运行(项):支出决算数为500.44万元，比上年决算减少32.21万元，下降6.05%,主要原因是：本年在职人员减少，相应人员经费较上年减少。</w:t>
      </w:r>
    </w:p>
    <w:p>
      <w:pPr>
        <w:spacing w:line="580" w:lineRule="exact"/>
        <w:ind w:firstLine="640"/>
        <w:jc w:val="both"/>
      </w:pPr>
      <w:r>
        <w:rPr>
          <w:rFonts w:ascii="仿宋_GB2312" w:hAnsi="仿宋_GB2312" w:eastAsia="仿宋_GB2312"/>
          <w:b w:val="0"/>
          <w:sz w:val="32"/>
        </w:rPr>
        <w:t>2.一般公共服务支出(类)商贸事务(款)其他商贸事务支出(项):支出决算数为384.16万元，比上年决算减少807.14万元，下降67.75%,主要原因是：本年度昌吉州“数字政府-大数据运营管理平台”建设项目资金较上年减少。</w:t>
      </w:r>
    </w:p>
    <w:p>
      <w:pPr>
        <w:spacing w:line="580" w:lineRule="exact"/>
        <w:ind w:firstLine="640"/>
        <w:jc w:val="both"/>
      </w:pPr>
      <w:r>
        <w:rPr>
          <w:rFonts w:ascii="仿宋_GB2312" w:hAnsi="仿宋_GB2312" w:eastAsia="仿宋_GB2312"/>
          <w:b w:val="0"/>
          <w:sz w:val="32"/>
        </w:rPr>
        <w:t>3.一般公共服务支出(类)统战事务(款)宗教事务(项):支出决算数为0.00万元，比上年决算减少0.93万元，下降100.00%,主要原因是：本年功能科目调整，为民办实事资金上年在宗教事务科目列支，本年在其他支出科目列支，导致经费减少。</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47.16万元，比上年决算增加10.44万元，增长28.43%,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53.20万元，比上年决算增加1.23万元，增长2.37%,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26.60万元，比上年决算减少1.25万元，下降4.49%,主要原因是：本年新增退休人员、调出人员较上年减少，职业年金缴费较上年减少。</w:t>
      </w:r>
    </w:p>
    <w:p>
      <w:pPr>
        <w:spacing w:line="580" w:lineRule="exact"/>
        <w:ind w:firstLine="640"/>
        <w:jc w:val="both"/>
      </w:pPr>
      <w:r>
        <w:rPr>
          <w:rFonts w:ascii="仿宋_GB2312" w:hAnsi="仿宋_GB2312" w:eastAsia="仿宋_GB2312"/>
          <w:b w:val="0"/>
          <w:sz w:val="32"/>
        </w:rPr>
        <w:t>7.社会保障和就业支出(类)抚恤(款)死亡抚恤(项):支出决算数为0.00万元，比上年决算减少60.77万元，下降100.00%,主要原因是：本年无新增死亡人员，死亡抚恤支出较上年减少。</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8.卫生健康支出(类)行政事业单位医疗(款)行政单位医疗(项):支出决算数为26.60万元，比上年决算增加3.70万元，增长16.16%,主要原因是：本年在职人员工资基数调增，医疗缴费基数上涨，相应支出增加。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0.00万元，比上年决算减少4.25万元，下降100.00%,主要原因是：本年功能科目调整，事业单位医疗上年度单独列支，本年调整至主科目列支，导致经费较上年减少。</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1.66万元，比上年决算减少0.08万元，下降4.60%,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11.卫生健康支出(类)行政事业单位医疗(款)其他行政事业单位医疗支出(项):支出决算数为0.44万元，比上年决算减少0.02万元，下降4.35%,主要原因是：本年在职人员减少，其他行政事业单位医疗支出较上年减少。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12.资源勘探工业信息等支出(类)工业和信息产业监管(款)工程建设及运行维护(项):支出决算数为1,000.00万元，比上年决算增加1,000.00万元，增长100.00%,主要原因是：本年增加2024年自治区第十批地方政府债券转贷资金，导致经费较上年增加。</w:t>
      </w:r>
    </w:p>
    <w:p>
      <w:pPr>
        <w:spacing w:line="580" w:lineRule="exact"/>
        <w:ind w:firstLine="640"/>
        <w:jc w:val="both"/>
      </w:pPr>
      <w:r>
        <w:rPr>
          <w:rFonts w:ascii="仿宋_GB2312" w:hAnsi="仿宋_GB2312" w:eastAsia="仿宋_GB2312"/>
          <w:b w:val="0"/>
          <w:sz w:val="32"/>
        </w:rPr>
        <w:t>13.资源勘探工业信息等支出(类)工业和信息产业监管(款)产业发展(项):支出决算数为0.00万元，比上年决算减少421.67万元，下降100.00%,主要原因是：本年度减少昌吉州葡萄酒产业高质量发展专项资金-2022年（新疆·昌吉）“一带一路”国际葡萄酒大赛项目经费，导致经费较上年减少。</w:t>
      </w:r>
    </w:p>
    <w:p>
      <w:pPr>
        <w:spacing w:line="580" w:lineRule="exact"/>
        <w:ind w:firstLine="640"/>
        <w:jc w:val="both"/>
      </w:pPr>
      <w:r>
        <w:rPr>
          <w:rFonts w:ascii="仿宋_GB2312" w:hAnsi="仿宋_GB2312" w:eastAsia="仿宋_GB2312"/>
          <w:b w:val="0"/>
          <w:sz w:val="32"/>
        </w:rPr>
        <w:t>14.资源勘探工业信息等支出(类)支持中小企业发展和管理支出(款)中小企业发展专项(项):支出决算数为489.00万元，比上年决算增加489.00万元，增长100.00%,主要原因是：本年增加2024年中小企业数字化转型城市试点（第一批）奖补资金，导致经费较上年增加。</w:t>
      </w:r>
    </w:p>
    <w:p>
      <w:pPr>
        <w:spacing w:line="580" w:lineRule="exact"/>
        <w:ind w:firstLine="640"/>
        <w:jc w:val="both"/>
      </w:pPr>
      <w:r>
        <w:rPr>
          <w:rFonts w:ascii="仿宋_GB2312" w:hAnsi="仿宋_GB2312" w:eastAsia="仿宋_GB2312"/>
          <w:b w:val="0"/>
          <w:sz w:val="32"/>
        </w:rPr>
        <w:t>15.住房保障支出(类)住房改革支出(款)住房公积金(项):支出决算数为42.62万元，比上年决算增加6.80万元，增长18.98%,主要原因是：本年在职人员工资基数调增，公积金缴费基数上涨，导致经费较上年增加。</w:t>
      </w:r>
    </w:p>
    <w:p>
      <w:pPr>
        <w:spacing w:line="580" w:lineRule="exact"/>
        <w:ind w:firstLine="640"/>
        <w:jc w:val="both"/>
      </w:pPr>
      <w:r>
        <w:rPr>
          <w:rFonts w:ascii="仿宋_GB2312" w:hAnsi="仿宋_GB2312" w:eastAsia="仿宋_GB2312"/>
          <w:b w:val="0"/>
          <w:sz w:val="32"/>
        </w:rPr>
        <w:t>16.灾害防治及应急管理支出(类)应急管理事务(款)其他应急管理支出(项):支出决算数为32.50万元，比上年决算增加32.50万元，增长100.00%,主要原因是：本年度昌吉州安全生产和消防工作先进单位项目经费增加，导致经费较上年增加。</w:t>
      </w:r>
    </w:p>
    <w:p>
      <w:pPr>
        <w:spacing w:line="580" w:lineRule="exact"/>
        <w:ind w:firstLine="640"/>
        <w:jc w:val="both"/>
      </w:pPr>
      <w:r>
        <w:rPr>
          <w:rFonts w:ascii="仿宋_GB2312" w:hAnsi="仿宋_GB2312" w:eastAsia="仿宋_GB2312"/>
          <w:b w:val="0"/>
          <w:sz w:val="32"/>
        </w:rPr>
        <w:t>17.其他支出(类)其他支出(款)其他支出(项):支出决算数为8.63万元，比上年决算减少9.65万元，下降52.79%,主要原因是：本年为民办实事工作经费支出较上年减少，导致经费较上年减少。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2024年度一般公共预算财政拨款基本支出702.37万元，其中：</w:t>
      </w:r>
      <w:r>
        <w:rPr>
          <w:rFonts w:ascii="仿宋_GB2312" w:hAnsi="仿宋_GB2312" w:eastAsia="仿宋_GB2312"/>
          <w:b/>
          <w:sz w:val="32"/>
        </w:rPr>
        <w:t>人员经费643.86万元，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离休费、退休费、抚恤金、生活补助、医疗费补助、奖励金。</w:t>
      </w:r>
    </w:p>
    <w:p>
      <w:pPr>
        <w:spacing w:line="580" w:lineRule="exact"/>
        <w:ind w:firstLine="640"/>
        <w:jc w:val="both"/>
      </w:pPr>
      <w:r>
        <w:rPr>
          <w:rFonts w:ascii="仿宋_GB2312" w:hAnsi="仿宋_GB2312" w:eastAsia="仿宋_GB2312"/>
          <w:b/>
          <w:sz w:val="32"/>
        </w:rPr>
        <w:t>公用经费58.51万元，</w:t>
      </w:r>
      <w:r>
        <w:rPr>
          <w:rFonts w:ascii="仿宋_GB2312" w:hAnsi="仿宋_GB2312" w:eastAsia="仿宋_GB2312"/>
          <w:b w:val="0"/>
          <w:sz w:val="32"/>
        </w:rPr>
        <w:t>包括：办公费、印刷费、邮电费、差旅费、维修（护）费、公务接待费、委托业务费、工会经费、福利费、公务用车运行维护费、其他交通费用、其他商品和服务支出。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2024年度财政拨款“三公”经费支出10.36万元，</w:t>
      </w:r>
      <w:r>
        <w:rPr>
          <w:rFonts w:ascii="仿宋_GB2312" w:hAnsi="仿宋_GB2312" w:eastAsia="仿宋_GB2312"/>
          <w:b w:val="0"/>
          <w:sz w:val="32"/>
        </w:rPr>
        <w:t>比上年减少1.88万元，下降15.36%，主要原因是：本年无赴哈萨克斯坦参加国际展会，因公出国（境）费支出较上年减少。</w:t>
      </w:r>
      <w:r>
        <w:rPr>
          <w:rFonts w:ascii="仿宋_GB2312" w:hAnsi="仿宋_GB2312" w:eastAsia="仿宋_GB2312"/>
          <w:b w:val="0"/>
          <w:sz w:val="32"/>
        </w:rPr>
        <w:t>其中：因公出国（境）费支出0.00万元，占0.00%，比上年减少1.89万元，下降100.00%，主要原因是：本年无赴哈萨克斯坦参加国际展会，因公出国（境）费支出较上年减少。</w:t>
      </w:r>
      <w:r>
        <w:rPr>
          <w:rFonts w:ascii="仿宋_GB2312" w:hAnsi="仿宋_GB2312" w:eastAsia="仿宋_GB2312"/>
          <w:b w:val="0"/>
          <w:sz w:val="32"/>
        </w:rPr>
        <w:t>公务用车购置及运行维护费支出10.00万元，占96.53%，比上年增加0.00万元，增长0.00%，主要原因是：我单位公务用车运行维护费与上年一致无变化。</w:t>
      </w:r>
      <w:r>
        <w:rPr>
          <w:rFonts w:ascii="仿宋_GB2312" w:hAnsi="仿宋_GB2312" w:eastAsia="仿宋_GB2312"/>
          <w:b w:val="0"/>
          <w:sz w:val="32"/>
        </w:rPr>
        <w:t>公务接待费支出0.36万元，占3.47%，比上年增加0.01万元，增长2.86%，主要原因是：本年因业务需求，增加公务接待工作，导致公务接待费较上年增加。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10.00万元，其中：公务用车购置费0.00万元，公务用车运行维护费10.00万元。公务用车运行维护费开支内容包括车辆加油费、维修费、保险费、审车费、过路费等。公务用车购置数0辆，公务用车保有量4辆。国有资产占用情况中固定资产车辆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公务接待费0.36万元，开支内容包括接待上级领导检查产生的就餐费。单位全年安排的国内公务接待2批次，35人次。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10.36万元，决算数10.36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10.00万元，决算数10.00万元，预决算差异率0.00%，主要原因是：严格按照预算执行，预决算无差异。公务接待费全年预算数0.36万元，决算数0.36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工业和信息化局（行政单位和参照公务员法管理事业单位）机关运行经费支出58.51万元，比上年减少11.34万元，下降16.23%，主要原因是：严格控制经费，合理节约办公用品，减少不必要开支。本年减少差旅费、党建经费等。</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2024年度政府采购支出总额137.61万元，其中：政府采购货物支出6.83万元、政府采购工程支出0.00万元、政府采购服务支出130.78万元。</w:t>
      </w:r>
    </w:p>
    <w:p>
      <w:pPr>
        <w:spacing w:line="580" w:lineRule="exact"/>
        <w:ind w:firstLine="640"/>
        <w:jc w:val="both"/>
      </w:pPr>
      <w:r>
        <w:rPr>
          <w:rFonts w:ascii="仿宋_GB2312" w:hAnsi="仿宋_GB2312" w:eastAsia="仿宋_GB2312"/>
          <w:b w:val="0"/>
          <w:sz w:val="32"/>
        </w:rPr>
        <w:t>授予中小企业合同金额137.60万元，占政府采购支出总额的99.99%，其中：授予小微企业合同金额137.60万元，占政府采购支出总额的99.99%。</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59.14平方米，价值17.00万元。车辆4辆，价值90.12万元，其中：副部（省）级及以上领导用车0辆、主要负责人用车0辆、机要通信用车0辆、应急保障用车0辆、执法执勤用车0辆、特种专业技术用车0辆、离退休干部服务用车0辆、其他用车4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2,751.07万元，实际执行总额2,751.07万元；预算绩效评价项目9个，全年预算数1,003.77万元，全年执行数1,002.47万元。预算绩效管理取得的成效：一是制度建设完全，相关制度严格执行，经费到位及时，项目资金按计划使用，严格按照预算管理规定开支，及时支付项目款；二是坚持先做事、后验收、再拨付的原则，基本杜绝了资金被挤占和挪用现象的发生。发现的问题及原因：一是本年在资金申请工作中存在部分问题，本级追加资金未能拨付，要积极主动联系财政部门确保资金及时落实到位；二是进一步按照国家有关财务规章制度规定加强资金使用管理，确保资金用到实处，工作有序的开展，加强自身建设，提高服务能力。下一步改进措施：一是资金管理方面，加强对预算的监督管理，同时加强预算资金管理的执行力度，完善预算资金的监督体系，要加强各部门之间的联系，使各部门共同参与财政预算资金监督管理，强化单位财政资金的跟踪监察，对资金的申报、拨付及使用情况进行监管。二是加强部门决策、完善工作机制、发挥履职效能、优化支出结构、提高资金使用效益等角度出发，提出高层次的措施建议，不要局限于具体的资金支出或日常工作。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798.53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2,751.07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2,751.07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1,036.53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2,751.07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2,751.07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全州工信系统将进一步强化工业经济“稳中求进、以进促稳”的各项工作举措,按照“抓重点、重点抓”的工作思路，着力抓好以下三项重点工作：一、抓重点产业链，确保稳增长;二、抓顶层谋划，力促快增长;三、抓高质量发展，实现优增长。</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年我单位全年预算数为2,751.07万元，全年执行数为2,751.07万元，总预算执行率为100%。2024 年我单位完成以下工作内容：1.全年新增规模以上工业企业92家；2.新增“专精特新”中小企企业数56家；3.开展行业安全监管和工业企业安全指导8轮次。4.建立5G基站600家；5.制作安全生产教育片1部；6.全年重点工业企业指导检查300家；通过以上工作的实施，全州工信系统将进一步强化工业经济“稳中求进、以进促稳”的各项工作举措。</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全年新增规模以上工业企业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2024年自治州工业和信息化工作报告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新增“专精特新”中小企企业数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&gt;=43家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2024年自治州工业和信息化工作报告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开展行业安全监管和工业企业安全指导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关于下达2023年昌吉州安全生产资金的通知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建立5G基站</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2024年自治州工业和信息化工作报告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=625家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制作安全生产教育片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关于下达2023年昌吉州安全生产资金的通知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规上工业增加值同比增加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2024年自治州工业和信息化工作报告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全年重点工业企业指导检查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关于下达2023年昌吉州安全生产资金的通知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2023年中国产业转移发展对接活动（新疆）项目经费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184.38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184.38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工业和信息化部等十部门《关于促进制造业有序转移的指导意见》，进一步加强新疆与中东部地区对接特别是与19个对口援疆省市的经济交流合作，有序承接产业转移，工业和信息化部、自治区人民政府定于10月13-15日在昌吉州举办2023中国产业转移发展对接活动(新疆)，按照《自治区人民政府办公厅关于印发《2023中国产业转移发展对接活动(新疆)总体方案》的通知》(明电[2023]190号）文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举办2023中国产业转移发展对接活动(新疆）活动1场，开展专题活动8场，100%活动完成率，会议物品费用5.15万元。会议费用176.86万元。通过该项目的实施，进一步加强新疆与中东部地区对接经济交流合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举办2023中国产业转移发展对接活动(新疆）活动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开展专题活动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2023年10月10日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会议物品费用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&lt;=176.86万元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=176.86万元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进一步加强新疆与中东部地区对接经济交流合作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2023年度安全生产和消防工作考核奖金项目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聘请第三方制作安全生产教育宣传片。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制作安全生产专题片1部，观看安全生产专题片企业10家，安全生产专题片100%合格，2024年6月30日完成安全生产专题片制作，通过该项目的实施，有效提升我州民爆企业安全生产防范意识和管理能力，推动工业经济健康稳定发展，长期帮助企业提高安全生产管理水平和安全管理意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制作安全生产专题片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观看安全生产专题片企业数量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安全生产专题片合格率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安全生产专题片制作完成时间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观看安全生产专题片完成时效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有效提高企业安全生产防范意识和管理能力，推动工业经济健康稳定发展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长期帮助企业提高安全生产管理水平和安全管理意识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2024年中小企业数字化转型城市试点（第一批）奖补资金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计划完成：开展政策解读及复制推广活动9场、举办专题培训3场、提交数字化转型城市试点工作文件3份、搭建数据支撑工具（平台）1套、专题培训出勤率95%、2024年12月完成项目、推进昌吉州中小企业数字化改造建设，提高中小企业的数字化水平，为经济社会发展提供决策参考。为了实现昌吉州中小企业数字化转型城市试点工作目标，构建昌吉中小企业数字化转型赋能机制，探索“昌吉特色”中小企业数字化转型发展路径，乙方应根据国家、自治区相关要求及《2024年新疆昌吉州中小企业数字化转型城市试点实施方案（备案版）》，为甲方提供政策宣贯及复制推广、新型工业化数字化人才培训、数字化转型城市试点工作咨询规划、数字化转型城市试点工作全流程数据支撑工具（平台）搭建及改造企业数据赋能等服务，为昌吉建设中小企业数字化转型城市试点综合公共服务体系、实施城市试点工作提供全过程支撑服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政策解读及复制推广活动数量9次，举办专题培训数3次，提交数字化转型城市试点工作文件3份，搭建数据支撑工具（平台）1个，专题培训出勤100%,,通过该项目的实施，推进昌吉州中小企业数字化改造建设，提高中小企业的数字化水平，为经济社会发展提供决策参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开展政策解读及复制推广活动数量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举办专题培训数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提交数字化转型城市试点工作文件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搭建数据支撑工具（平台）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专题培训出勤率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开展政策解读及复制推广活动费用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举办专题培训费用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提交数字化转型城市试点工作费用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搭建数据支撑工具（平台）费用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推进昌吉州中小企业数字化改造建设，提高中小企业的数字化水平，为经济社会发展提供决策参考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项目完成情况较好，培训人员满意度较高。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文件使用人员满意度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项目完成情况较好，文件使用人员满意度较高。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2024年州级预算内前期费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编制《2024年昌吉州新型技术改造城市试点实施方案》1册，编制《2024年昌吉州新型技术改造城市试点实施方案》数量1册，专家验收合格率100%，《2024年昌吉州新型技术改造城市试点实施方案》编制费用60万元，《2024年昌吉州中小企业数字化转型城市试点实施方案》编制费用38万元，推进重点技术改造项目建设，为经济社会发展提供决策参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编制《2024年昌吉州新型技术改造城市试点实施方案》1册，编制《2024年昌吉州中小企业数字化转型城市试点实施方案》数量1册，专家验收合格率100%，通过该项目的实施，推进重点技术改造项目建设，为经济社会发展提供决策参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编制《2024年昌吉州新型技术改造城市试点实施方案》数量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编制《2024年昌吉州中小企业数字化转型城市试点实施方案》数量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《2024年昌吉州新型技术改造城市试点实施方案》编制费用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在项目招标过程中，招标价格最终为59.5万元，项目整体节约成本。</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《2024年昌吉州中小企业数字化转型城市试点实施方案》编制费用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在项目招标过程中，招标价格最终为37.2万元，项目整体节约成本。</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推进重点技术改造项目建设，为经济社会发展提供决策参考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2024年度单位运转类项目资金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101.69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101.69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101.69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101.69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关于印发《昌吉回族自治州工业和信息化局职能配置、内设机构和人员编制规定》的通知（昌州党办【2019】36号）拟定自治州工业和信息化发展规划，负责自治州工业经济运行，负责工业和信息化领域各行业的管理等职能。开展培训班1期，保障单位援疆干部1人。保障运转部门8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截至2024年12月31日，该项目实际完成:保障援疆干部1名，保障运转部门8个，计划开展培训班次数1个，各项工作100%完成。通过该项目的实施，有效保障单位正常运转、为部门业务开展提供有效支持。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保障单位援疆干部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保障运转部门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计划开展培训班次数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工作开展时间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开展培训、活动保障经费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有效保障单位正常运转、为部门业务开展提供有效支持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“庭州英才”人才计划2024年支持资金项目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奖金发放人数22人，奖金发放次数1次，奖金发放准确率100%，奖金按每人3万元标准发放，2024年12月10日发放完成，通过项目的实施，一是构建人才发展战略，明确人才发展规划，确立以能力为导向的人才发展路径，二是优化人才结构，引导企业增加高级管理人才、专业技术人才级创新型人才比例，形成合理人才梯队。三是提升人才质量，鼓励创新思维和终身学习，四是建立人才激励机制，激发人才潜能，降低人才流失率。经过筛选、挖掘并培养一批具有创新精神、实践能力和团队合作精神的高素质人才，进一步建立完善我州人才培养体系。该项目按照《昌吉州庭州制造业人才育才专项行动实施办法》要求，由州工业和信息化局负责牵头组织实施，州人社局、国资委配合实施，围绕自治州制造业领域，通过提供培养载体、培养经费和特殊支持，有计划地遴选培养一批创新企业家、制造业技术人才、基础工艺人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截至2024年12月31日，该项目实际完成:2024年12月10号发放完成1次性发放奖金22人次，奖金发放标准3万元/人，发张奖金100%准确，通过该项目的实施，提升了产业水平，引领产业发展。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提升产业水平，引领产业发展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获奖人员满意度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州工信局工业强州大会工作经费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全面贯彻落实自治区党委十届五次、六次七次会议精神，提振昌吉州企业家干事创业的信息和决心。举办工业强州大会一场。工业强州大会召开及时率100%,工业强州大会活动举成功率100%,引起昌吉州企业界强烈反响,进一步促进我州工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截止2024年12月31日，该项目实际完成召开工业强州大会1场次，设立兑现奖项数5个。通过该项目的实施，工业强州大会活动成功举办。促进我州工业高质量发展。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召开工业强州大会场次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设立兑现奖项数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工业强州大会活动举成功率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工业强州大会召开及时率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开展大会场地使用费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保障大会运转经费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促进我州工业高质量发展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昌吉州干部教育培训相关经费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计划完成：外出参加培训次数1次。聘请培训机构数量1个。培训结业率95%，培训时长12天，学员费用每人600元每天，培训人员满意度90%。通过开展该项目，我州与内蒙古鄂尔多斯、通辽、包头等地，资源禀赋、产业基础与我州高度相似，电解铝、多晶硅等行业产能规模相当，且下游精深加工发展较好值得借鉴学习。加快推进千亿级硅基、铝基特色优势产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12天的专题学习研讨。各县市（园区）、州直部门及企业负责同志40人赴内蒙古学习，聚焦包头市如何打造“世界绿色硅都”、鄂尔多斯市建设全球首座零碳产业园、通辽市铝液就地转化率高等成功案例和经验做法，重点围绕新型工业化、硅基铝基产业发展趋势、“链式集群”发展等主题，通过理论学习、现场教学、集体研讨、企业家座谈、集体述学等多种方式，有效提升了学员的理论素养和服务企业能力，增强了干事创业动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外出参加培训人数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外出参加培训次数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聘请培训机构数量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培训结业率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=596元/人/天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在标准范围内，节约成本。</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加快推进千亿级硅基、铝基特色优势产业高质量发展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加快推进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民爆行业及重点工业企业安全生产检查指导项目（2024年）</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全州14家民爆生产销售企业、300家重点工业企业开展安全生产检查指导，提升民爆企业企业重大安全风险管控能力及工业企业整体安全管理水平，提高企业负责人及员工安全管理能力和业务素质，进一步增强企业安全生产责任意识，推动我州工业经济健康稳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全州14家民爆生产销售企业、300家重点工业企业开展安全生产检查指导，通过该项目的实施:提升民爆企业企业重大安全风险管控能力及工业企业整体安全管理水平，提高企业负责人及员工安全管理能力和业务素质，进一步增强企业安全生产责任意识，推动我州工业经济健康稳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民爆生产销售企业全覆盖检查轮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重点工业企业安全指导检查数量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安全检查报告合格率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完成安全指导检查时间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民爆生产销售企业全覆盖检查轮经费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本指标依照往年指标进行设置，在实际招标过程中，最终以29.5万元通过项目最终价格开展工作。项目成本指标节约成本，都出资金最后退还财政。</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重点工业企业安全指导检查经费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有效提高行业安全管理能力，推动工业经济健康稳定发展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长期帮助企业提高安全生产管理水平和安全管理意识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