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昌吉回族自治州妇女联合会2024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新疆昌吉回族自治州妇女联合会(简称昌吉州妇联)是昌吉州党委领导下的全州各族各界妇女的社会群众团体组织，是党和政府联系妇女群众的桥梁和纽带，具有维护妇女合法权益、促进妇女健康发展等工作职能。主要职责。</w:t>
      </w:r>
    </w:p>
    <w:p>
      <w:pPr>
        <w:spacing w:line="580" w:lineRule="exact"/>
        <w:ind w:firstLine="640"/>
        <w:jc w:val="both"/>
      </w:pPr>
      <w:r>
        <w:rPr>
          <w:rFonts w:ascii="仿宋_GB2312" w:hAnsi="仿宋_GB2312" w:eastAsia="仿宋_GB2312"/>
          <w:sz w:val="32"/>
        </w:rPr>
        <w:t>一是坚持正确的政治方向，团结、引领、服务、联系全州各族各界妇女以及各类妇女组织，深入学习贯彻习近平新时代中国特色社会主义思想和党的路线方针政策，始终在思想上、政治上、行动上同以习近平同志为核心的党中央保持高度一致，维护祖国统一，反对民族分裂主义和非法活动。</w:t>
      </w:r>
    </w:p>
    <w:p>
      <w:pPr>
        <w:spacing w:line="580" w:lineRule="exact"/>
        <w:ind w:firstLine="640"/>
        <w:jc w:val="both"/>
      </w:pPr>
      <w:r>
        <w:rPr>
          <w:rFonts w:ascii="仿宋_GB2312" w:hAnsi="仿宋_GB2312" w:eastAsia="仿宋_GB2312"/>
          <w:sz w:val="32"/>
        </w:rPr>
        <w:t>二是坚决贯彻落实新时代党的治疆方略，紧紧围绕社会稳定和长治久安总目标开展工作。团结、动员、组织妇女群众投身改革和社会主义经济建设、政治建设、文化建设、社会建设和生态文明建设，注重发挥妇女在社会生活和家庭生活中的独特作用，为中国特色社会主义伟大实践做贡献。</w:t>
      </w:r>
    </w:p>
    <w:p>
      <w:pPr>
        <w:spacing w:line="580" w:lineRule="exact"/>
        <w:ind w:firstLine="640"/>
        <w:jc w:val="both"/>
      </w:pPr>
      <w:r>
        <w:rPr>
          <w:rFonts w:ascii="仿宋_GB2312" w:hAnsi="仿宋_GB2312" w:eastAsia="仿宋_GB2312"/>
          <w:sz w:val="32"/>
        </w:rPr>
        <w:t>三是宣传马克思主义妇女观，推动落实男女平等基本国策，营造有利于妇女发展的社会环境，教育、引导妇女群众树立正确的世界观、人生观、价值观，弘扬“自尊、自信、自立、自强”的精神，提高综合素质，实现全面发展，宣传表彰优秀妇女典型，培养、推荐女性人才。</w:t>
      </w:r>
    </w:p>
    <w:p>
      <w:pPr>
        <w:spacing w:line="580" w:lineRule="exact"/>
        <w:ind w:firstLine="640"/>
        <w:jc w:val="both"/>
      </w:pPr>
      <w:r>
        <w:rPr>
          <w:rFonts w:ascii="仿宋_GB2312" w:hAnsi="仿宋_GB2312" w:eastAsia="仿宋_GB2312"/>
          <w:sz w:val="32"/>
        </w:rPr>
        <w:t>四是代表各族各界妇女参与管理经济和文化事业、管理社会事务、参与民主决策、民主管理、民主监督、参与有关法律、法规、规章和政策的制定，推动保障妇女权益法律政策和妇女儿童发展纲要的实施。</w:t>
      </w:r>
    </w:p>
    <w:p>
      <w:pPr>
        <w:spacing w:line="580" w:lineRule="exact"/>
        <w:ind w:firstLine="640"/>
        <w:jc w:val="both"/>
      </w:pPr>
      <w:r>
        <w:rPr>
          <w:rFonts w:ascii="仿宋_GB2312" w:hAnsi="仿宋_GB2312" w:eastAsia="仿宋_GB2312"/>
          <w:sz w:val="32"/>
        </w:rPr>
        <w:t>五是维护妇女儿童合法权益，倾听妇女意见，反映妇女诉求，向自治州党委、自治州人民政府提出对策建议，要求并协助有关部门或者单位查处侵害妇女儿童合法权益的行为，为受侵害的妇女儿童提供帮助，协调推动全社会为妇女儿童办实事、办好事。</w:t>
      </w:r>
    </w:p>
    <w:p>
      <w:pPr>
        <w:spacing w:line="580" w:lineRule="exact"/>
        <w:ind w:firstLine="640"/>
        <w:jc w:val="both"/>
      </w:pPr>
      <w:r>
        <w:rPr>
          <w:rFonts w:ascii="仿宋_GB2312" w:hAnsi="仿宋_GB2312" w:eastAsia="仿宋_GB2312"/>
          <w:sz w:val="32"/>
        </w:rPr>
        <w:t>六是积极推动和开展对妇女的科技文化及生产劳动技能的教育，关心妇女工作生活，拓宽服务就业渠道，创新服务方式，建设服务阵地，发展公益事业，壮大巾帼志愿者队伍，加强妇女之家建设，联系和引导女性社会组织，加强与社会各界的协作，推动全社会为妇女儿童和家庭服务。</w:t>
      </w:r>
    </w:p>
    <w:p>
      <w:pPr>
        <w:spacing w:line="580" w:lineRule="exact"/>
        <w:ind w:firstLine="640"/>
        <w:jc w:val="both"/>
      </w:pPr>
      <w:r>
        <w:rPr>
          <w:rFonts w:ascii="仿宋_GB2312" w:hAnsi="仿宋_GB2312" w:eastAsia="仿宋_GB2312"/>
          <w:sz w:val="32"/>
        </w:rPr>
        <w:t>七是指导各县市、园区妇联依据《中华全国妇女联合会章程》和妇女代表大会的任务，开展妇女儿童工作，联系团体会员并给子工作指导，巩固和扩大各族各界妇女的大团结。</w:t>
      </w:r>
    </w:p>
    <w:p>
      <w:pPr>
        <w:spacing w:line="580" w:lineRule="exact"/>
        <w:ind w:firstLine="640"/>
        <w:jc w:val="both"/>
      </w:pPr>
      <w:r>
        <w:rPr>
          <w:rFonts w:ascii="仿宋_GB2312" w:hAnsi="仿宋_GB2312" w:eastAsia="仿宋_GB2312"/>
          <w:sz w:val="32"/>
        </w:rPr>
        <w:t>八是承担自治州妇女儿童工作委员会办公室的工作和州党委、人民政府交办的有关事项。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昌吉回族自治州妇女联合会2024年度，实有人数28人，其中：在职人员15人，减少1人；离休人员0人，增加0人；退休人员13人,增加2人。</w:t>
      </w:r>
    </w:p>
    <w:p>
      <w:pPr>
        <w:spacing w:line="580" w:lineRule="exact"/>
        <w:ind w:firstLine="640"/>
        <w:jc w:val="both"/>
      </w:pPr>
      <w:r>
        <w:rPr>
          <w:rFonts w:ascii="仿宋_GB2312" w:hAnsi="仿宋_GB2312" w:eastAsia="仿宋_GB2312"/>
          <w:sz w:val="32"/>
        </w:rPr>
        <w:t>昌吉回族自治州妇女联合会无下属预算单位，下设2个科室，分别是：办公室、综合科。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2024年度收入总计629.93万元，</w:t>
      </w:r>
      <w:r>
        <w:rPr>
          <w:rFonts w:ascii="仿宋_GB2312" w:hAnsi="仿宋_GB2312" w:eastAsia="仿宋_GB2312"/>
          <w:b w:val="0"/>
          <w:sz w:val="32"/>
        </w:rPr>
        <w:t>其中：本年收入合计629.93万元，使用非财政拨款结余（含专用结余）0.00万元，年初结转和结余0.00万元。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2024年度支出总计629.93万元，</w:t>
      </w:r>
      <w:r>
        <w:rPr>
          <w:rFonts w:ascii="仿宋_GB2312" w:hAnsi="仿宋_GB2312" w:eastAsia="仿宋_GB2312"/>
          <w:b w:val="0"/>
          <w:sz w:val="32"/>
        </w:rPr>
        <w:t>其中：本年支出合计622.57万元，结余分配0.00万元，年末结转和结余7.36万元。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31.33万元，增长5.23%，主要原因是：本年在职人员工资调增，社保、公积金基数调增，人员经费增加。本年增加援疆工作经费、全国万人集体婚礼（昌吉分会场）项目补助；本年妇女儿童工作经费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本年收入629.93万元，</w:t>
      </w:r>
      <w:r>
        <w:rPr>
          <w:rFonts w:ascii="仿宋_GB2312" w:hAnsi="仿宋_GB2312" w:eastAsia="仿宋_GB2312"/>
          <w:b w:val="0"/>
          <w:sz w:val="32"/>
        </w:rPr>
        <w:t>其中：财政拨款收入544.70万元，占86.47%；上级补助收入0.00万元，占0.00%；事业收入0.00万元，占0.00%；经营收入0.00万元，占0.00%；附属单位上缴收入0.00万元，占0.00%；其他收入85.23万元，占13.53%。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本年支出622.57万元，</w:t>
      </w:r>
      <w:r>
        <w:rPr>
          <w:rFonts w:ascii="仿宋_GB2312" w:hAnsi="仿宋_GB2312" w:eastAsia="仿宋_GB2312"/>
          <w:b w:val="0"/>
          <w:sz w:val="32"/>
        </w:rPr>
        <w:t>其中：基本支出386.43万元，占62.07%；项目支出236.14万元，占37.93%；上缴上级支出0.00万元，占0.00%；经营支出0.00万元，占0.00%；对附属单位补助支出0.00万元，占0.00%。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2024年度财政拨款收入总计544.70万元，</w:t>
      </w:r>
      <w:r>
        <w:rPr>
          <w:rFonts w:ascii="仿宋_GB2312" w:hAnsi="仿宋_GB2312" w:eastAsia="仿宋_GB2312"/>
          <w:b w:val="0"/>
          <w:sz w:val="32"/>
        </w:rPr>
        <w:t>其中：年初财政拨款结转和结余0.00万元，本年财政拨款收入544.70万元。</w:t>
      </w:r>
      <w:r>
        <w:rPr>
          <w:rFonts w:ascii="仿宋_GB2312" w:hAnsi="仿宋_GB2312" w:eastAsia="仿宋_GB2312"/>
          <w:b/>
          <w:sz w:val="32"/>
        </w:rPr>
        <w:t>财政拨款支出总计544.70万元，</w:t>
      </w:r>
      <w:r>
        <w:rPr>
          <w:rFonts w:ascii="仿宋_GB2312" w:hAnsi="仿宋_GB2312" w:eastAsia="仿宋_GB2312"/>
          <w:b w:val="0"/>
          <w:sz w:val="32"/>
        </w:rPr>
        <w:t>其中：年末财政拨款结转和结余0.00万元，本年财政拨款支出544.70万元。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增加26.84万元，增长5.18%，主要原因是：本年在职人员工资调增，社保、公积金基数调增，人员经费增加。本年妇女儿童工作经费较上年增加；本年增加全国万人集体婚礼（昌吉分会场）项目补助。</w:t>
      </w:r>
      <w:r>
        <w:rPr>
          <w:rFonts w:ascii="仿宋_GB2312" w:hAnsi="仿宋_GB2312" w:eastAsia="仿宋_GB2312"/>
          <w:b/>
          <w:sz w:val="32"/>
        </w:rPr>
        <w:t>与年初预算相比，</w:t>
      </w:r>
      <w:r>
        <w:rPr>
          <w:rFonts w:ascii="仿宋_GB2312" w:hAnsi="仿宋_GB2312" w:eastAsia="仿宋_GB2312"/>
          <w:b w:val="0"/>
          <w:sz w:val="32"/>
        </w:rPr>
        <w:t>年初预算数478.49万元，决算数544.70万元，预决算差异率13.84%，主要原因是：年中追加人员工资、社保、公积金基数调增部分资金，年中追加万人集体婚礼项目经费，导致预决算存在差异。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2024年度一般公共预算财政拨款支出534.70万元，</w:t>
      </w:r>
      <w:r>
        <w:rPr>
          <w:rFonts w:ascii="仿宋_GB2312" w:hAnsi="仿宋_GB2312" w:eastAsia="仿宋_GB2312"/>
          <w:b w:val="0"/>
          <w:sz w:val="32"/>
        </w:rPr>
        <w:t>占本年支出合计的85.89%。</w:t>
      </w:r>
      <w:r>
        <w:rPr>
          <w:rFonts w:ascii="仿宋_GB2312" w:hAnsi="仿宋_GB2312" w:eastAsia="仿宋_GB2312"/>
          <w:b/>
          <w:sz w:val="32"/>
        </w:rPr>
        <w:t>与上年相比，</w:t>
      </w:r>
      <w:r>
        <w:rPr>
          <w:rFonts w:ascii="仿宋_GB2312" w:hAnsi="仿宋_GB2312" w:eastAsia="仿宋_GB2312"/>
          <w:b w:val="0"/>
          <w:sz w:val="32"/>
        </w:rPr>
        <w:t>增加16.84万元，增长3.25%，主要原因是：本年在职人员工资调增，社保、公积金基数调增，人员经费增加。本年妇女儿童工作经费较上年增加。</w:t>
      </w:r>
      <w:r>
        <w:rPr>
          <w:rFonts w:ascii="仿宋_GB2312" w:hAnsi="仿宋_GB2312" w:eastAsia="仿宋_GB2312"/>
          <w:b/>
          <w:sz w:val="32"/>
        </w:rPr>
        <w:t>与年初预算相比,</w:t>
      </w:r>
      <w:r>
        <w:rPr>
          <w:rFonts w:ascii="仿宋_GB2312" w:hAnsi="仿宋_GB2312" w:eastAsia="仿宋_GB2312"/>
          <w:b w:val="0"/>
          <w:sz w:val="32"/>
        </w:rPr>
        <w:t>年初预算数478.49万元，决算数534.70万元，预决算差异率11.75%，主要原因是：年中追加人员工资、社保、公积金基数调增部分资金，导致预决算存在差异。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1.一般公共服务支出(类)418.37万元,占78.24%。</w:t>
      </w:r>
    </w:p>
    <w:p>
      <w:pPr>
        <w:spacing w:line="580" w:lineRule="exact"/>
        <w:ind w:firstLine="640"/>
        <w:jc w:val="both"/>
      </w:pPr>
      <w:r>
        <w:rPr>
          <w:rFonts w:ascii="仿宋_GB2312" w:hAnsi="仿宋_GB2312" w:eastAsia="仿宋_GB2312"/>
          <w:b w:val="0"/>
          <w:sz w:val="32"/>
        </w:rPr>
        <w:t>2.社会保障和就业支出(类)71.31万元,占13.34%。</w:t>
      </w:r>
    </w:p>
    <w:p>
      <w:pPr>
        <w:spacing w:line="580" w:lineRule="exact"/>
        <w:ind w:firstLine="640"/>
        <w:jc w:val="both"/>
      </w:pPr>
      <w:r>
        <w:rPr>
          <w:rFonts w:ascii="仿宋_GB2312" w:hAnsi="仿宋_GB2312" w:eastAsia="仿宋_GB2312"/>
          <w:b w:val="0"/>
          <w:sz w:val="32"/>
        </w:rPr>
        <w:t>3.卫生健康支出(类)19.38万元,占3.62%。</w:t>
      </w:r>
    </w:p>
    <w:p>
      <w:pPr>
        <w:spacing w:line="580" w:lineRule="exact"/>
        <w:ind w:firstLine="640"/>
        <w:jc w:val="both"/>
      </w:pPr>
      <w:r>
        <w:rPr>
          <w:rFonts w:ascii="仿宋_GB2312" w:hAnsi="仿宋_GB2312" w:eastAsia="仿宋_GB2312"/>
          <w:b w:val="0"/>
          <w:sz w:val="32"/>
        </w:rPr>
        <w:t>4.住房保障支出(类)25.64万元,占4.80%。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1.一般公共服务支出(类)群众团体事务(款)行政运行(项):支出决算数为176.83万元，比上年决算增加10.59万元，增长6.37%,主要原因是：本年在职人员工资调增，导致相关人员经费较上年有所增加。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2.一般公共服务支出(类)群众团体事务(款)一般行政管理事务(项):支出决算数为142.35万元，比上年决算增加1.31万元，增长0.93%,主要原因是：本年妇女儿童工作经费较上年增加。</w:t>
      </w:r>
    </w:p>
    <w:p>
      <w:pPr>
        <w:spacing w:line="580" w:lineRule="exact"/>
        <w:ind w:firstLine="640"/>
        <w:jc w:val="both"/>
      </w:pPr>
      <w:r>
        <w:rPr>
          <w:rFonts w:ascii="仿宋_GB2312" w:hAnsi="仿宋_GB2312" w:eastAsia="仿宋_GB2312"/>
          <w:b w:val="0"/>
          <w:sz w:val="32"/>
        </w:rPr>
        <w:t>3.一般公共服务支出(类)群众团体事务(款)事业运行(项):支出决算数为93.19万元，比上年决算增加0.08万元，增长0.09%,主要原因是：本年在职人员工资调增，导致相关人员经费较上年有所增加。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4.一般公共服务支出(类)群众团体事务(款)其他群众团体事务支出(项):支出决算数为6.00万元，比上年决算减少3.00万元，下降33.33%,主要原因是：本年自治区妇联拨付妇女儿童工作经费减少。</w:t>
      </w:r>
    </w:p>
    <w:p>
      <w:pPr>
        <w:spacing w:line="580" w:lineRule="exact"/>
        <w:ind w:firstLine="640"/>
        <w:jc w:val="both"/>
      </w:pPr>
      <w:r>
        <w:rPr>
          <w:rFonts w:ascii="仿宋_GB2312" w:hAnsi="仿宋_GB2312" w:eastAsia="仿宋_GB2312"/>
          <w:b w:val="0"/>
          <w:sz w:val="32"/>
        </w:rPr>
        <w:t>5.一般公共服务支出(类)统战事务(款)宗教事务(项):支出决算数为0.00万元，比上年决算减少1.20万元，下降100.00%,主要原因是：本年未安排驻村管寺人员生活补助。</w:t>
      </w:r>
    </w:p>
    <w:p>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6.社会保障和就业支出(类)行政事业单位养老支出(款)行政单位离退休(项):支出决算数为7.66万元，比上年决算增加2.96万元，增长62.98%,主要原因是：本年退休人员增加，退休费支出增加。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32.03万元，比上年决算减少0.62万元，下降1.90%,主要原因是：本年在职人员调入调出，人员职级不同，缴费基数不同，导致养老保险缴费较上年减少。</w:t>
      </w:r>
    </w:p>
    <w:p>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31.61万元，比上年决算增加6.79万元，增长27.36%,主要原因是：本年新增退休人员和调出人员，职业年金缴费支出增加。</w:t>
      </w:r>
    </w:p>
    <w:p>
      <w:pPr>
        <w:spacing w:line="580" w:lineRule="exact"/>
        <w:ind w:firstLine="640"/>
        <w:jc w:val="both"/>
      </w:pPr>
      <w:r>
        <w:rPr>
          <w:rFonts w:ascii="仿宋_GB2312" w:hAnsi="仿宋_GB2312" w:eastAsia="仿宋_GB2312"/>
          <w:b w:val="0"/>
          <w:sz w:val="32"/>
        </w:rPr>
        <w:t>9.卫生健康支出(类)行政事业单位医疗(款)行政单位医疗(项):支出决算数为9.52万元，比上年决算减少0.37万元，下降3.74%,主要原因是：本年在职人员调入调出，人员职级不同，缴费基数不同，导致行政单位医疗较上年减少。</w:t>
      </w:r>
    </w:p>
    <w:p>
      <w:pPr>
        <w:spacing w:line="580" w:lineRule="exact"/>
        <w:ind w:firstLine="640"/>
        <w:jc w:val="both"/>
      </w:pPr>
      <w:r>
        <w:rPr>
          <w:rFonts w:ascii="仿宋_GB2312" w:hAnsi="仿宋_GB2312" w:eastAsia="仿宋_GB2312"/>
          <w:b w:val="0"/>
          <w:sz w:val="32"/>
        </w:rPr>
        <w:t>10.卫生健康支出(类)行政事业单位医疗(款)事业单位医疗(项):支出决算数为8.70万元，比上年决算增加2.26万元，增长35.09%,主要原因是：本年在职人员工资基数调增，医疗缴费基数上涨，相应支出增加。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公务员医疗补助(项):支出决算数为1.00万元，比上年决算减少0.02万元，下降1.96%,主要原因是：本年在职人员调入调出，人员职级不同，缴费基数不同，导致公务员医疗补助较上年减少。</w:t>
      </w:r>
    </w:p>
    <w:p>
      <w:pPr>
        <w:spacing w:line="580" w:lineRule="exact"/>
        <w:ind w:firstLine="640"/>
        <w:jc w:val="both"/>
      </w:pPr>
      <w:r>
        <w:rPr>
          <w:rFonts w:ascii="仿宋_GB2312" w:hAnsi="仿宋_GB2312" w:eastAsia="仿宋_GB2312"/>
          <w:b w:val="0"/>
          <w:sz w:val="32"/>
        </w:rPr>
        <w:t>12.卫生健康支出(类)行政事业单位医疗(款)其他行政事业单位医疗支出(项):支出决算数为0.16万元，比上年决算增加0.00万元，增长0.00%,主要原因是：本年其他行政事业单位医疗支出与上年一致，无变化。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13.住房保障支出(类)住房改革支出(款)住房公积金(项):支出决算数为25.64万元，比上年决算增加0.04万元，增长0.16%,主要原因是：本年在职人员工资基数调增，公积金缴费基数上涨，相应支出增加。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14.其他支出(类)其他支出(款)其他支出(项):支出决算数为0.00万元，比上年决算减少2.01万元，下降100.00%,主要原因是：本年减少为民办实事工作经费。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2024年度一般公共预算财政拨款基本支出386.35万元，其中：</w:t>
      </w:r>
      <w:r>
        <w:rPr>
          <w:rFonts w:ascii="仿宋_GB2312" w:hAnsi="仿宋_GB2312" w:eastAsia="仿宋_GB2312"/>
          <w:b/>
          <w:sz w:val="32"/>
        </w:rPr>
        <w:t>人员经费360.17万元，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公用经费26.18万元，</w:t>
      </w:r>
      <w:r>
        <w:rPr>
          <w:rFonts w:ascii="仿宋_GB2312" w:hAnsi="仿宋_GB2312" w:eastAsia="仿宋_GB2312"/>
          <w:b w:val="0"/>
          <w:sz w:val="32"/>
        </w:rPr>
        <w:t>包括：办公费、水费、电费、邮电费、物业管理费、差旅费、维修（护）费、租赁费、公务接待费、工会经费、福利费、公务用车运行维护费、其他商品和服务支出。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2024年度政府性基金预算财政拨款收入总计10.00万元，</w:t>
      </w:r>
      <w:r>
        <w:rPr>
          <w:rFonts w:ascii="仿宋_GB2312" w:hAnsi="仿宋_GB2312" w:eastAsia="仿宋_GB2312"/>
          <w:b w:val="0"/>
          <w:sz w:val="32"/>
        </w:rPr>
        <w:t>其中：年初结转和结余0.00万元，本年收入10.00万元。</w:t>
      </w:r>
      <w:r>
        <w:rPr>
          <w:rFonts w:ascii="仿宋_GB2312" w:hAnsi="仿宋_GB2312" w:eastAsia="仿宋_GB2312"/>
          <w:b/>
          <w:sz w:val="32"/>
        </w:rPr>
        <w:t>政府性基金预算财政拨款支出总计10.00万元，</w:t>
      </w:r>
      <w:r>
        <w:rPr>
          <w:rFonts w:ascii="仿宋_GB2312" w:hAnsi="仿宋_GB2312" w:eastAsia="仿宋_GB2312"/>
          <w:b w:val="0"/>
          <w:sz w:val="32"/>
        </w:rPr>
        <w:t>其中：年末结转和结余0.00万元，本年支出10.00万元。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增加10.00万元，增长100.00%，主要原因是：本年增加全国万人集体婚礼（昌吉分会场）项目补助。</w:t>
      </w:r>
      <w:r>
        <w:rPr>
          <w:rFonts w:ascii="仿宋_GB2312" w:hAnsi="仿宋_GB2312" w:eastAsia="仿宋_GB2312"/>
          <w:b/>
          <w:sz w:val="32"/>
        </w:rPr>
        <w:t>与年初预算相比，</w:t>
      </w:r>
      <w:r>
        <w:rPr>
          <w:rFonts w:ascii="仿宋_GB2312" w:hAnsi="仿宋_GB2312" w:eastAsia="仿宋_GB2312"/>
          <w:b w:val="0"/>
          <w:sz w:val="32"/>
        </w:rPr>
        <w:t>年初预算数0.00万元，决算数10.00万元，预决算差异率100.00%，主要原因是：年中追加2024年全国万人集体婚礼（昌吉分会场）项目，导致预决算存在差异。</w:t>
      </w:r>
    </w:p>
    <w:p>
      <w:pPr>
        <w:spacing w:line="580" w:lineRule="exact"/>
        <w:ind w:firstLine="640"/>
        <w:jc w:val="both"/>
      </w:pPr>
      <w:r>
        <w:rPr>
          <w:rFonts w:ascii="仿宋_GB2312" w:hAnsi="仿宋_GB2312" w:eastAsia="仿宋_GB2312"/>
          <w:b w:val="0"/>
          <w:sz w:val="32"/>
        </w:rPr>
        <w:t>政府性基金预算财政拨款支出10.00万元。</w:t>
      </w:r>
    </w:p>
    <w:p>
      <w:pPr>
        <w:spacing w:line="580" w:lineRule="exact"/>
        <w:ind w:firstLine="640"/>
        <w:jc w:val="both"/>
      </w:pPr>
      <w:r>
        <w:rPr>
          <w:rFonts w:ascii="仿宋_GB2312" w:hAnsi="仿宋_GB2312" w:eastAsia="仿宋_GB2312"/>
          <w:b w:val="0"/>
          <w:sz w:val="32"/>
        </w:rPr>
        <w:t>1.其他支出(类)彩票公益金安排的支出(款)用于社会福利的彩票公益金支出(项):支出决算数为10.00万元，比上年决算增加10.00万元，增长100.00%,主要原因是：本年增加全国万人集体婚礼（昌吉分会场）项目补助。</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2024年度财政拨款“三公”经费支出3.51万元，</w:t>
      </w:r>
      <w:r>
        <w:rPr>
          <w:rFonts w:ascii="仿宋_GB2312" w:hAnsi="仿宋_GB2312" w:eastAsia="仿宋_GB2312"/>
          <w:b w:val="0"/>
          <w:sz w:val="32"/>
        </w:rPr>
        <w:t>比上年增加1.36万元，增长63.26%，主要原因是：本单位公务用车日渐老化，维修维护成本增加，导致公务用车运行维护费较上年增加。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公务用车购置及运行维护费支出3.36万元，占95.73%，比上年增加1.36万元，增长68.00%，主要原因是：本单位公务用车日渐老化，维修维护成本增加，导致公务用车运行维护费较上年增加。</w:t>
      </w:r>
      <w:r>
        <w:rPr>
          <w:rFonts w:ascii="仿宋_GB2312" w:hAnsi="仿宋_GB2312" w:eastAsia="仿宋_GB2312"/>
          <w:b w:val="0"/>
          <w:sz w:val="32"/>
        </w:rPr>
        <w:t>公务接待费支出0.15万元，占4.27%，比上年增加0.00万元，增长0.00%，主要原因是：我单位公务接待费与上年一致无变化。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3.36万元，其中：公务用车购置费0.00万元，公务用车运行维护费3.36万元。公务用车运行维护费开支内容包括公务用车加油费、维修费及保险费。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公务接待费0.15万元，开支内容包括接待和田地区妇联一行考察，领导及工作人员，产生的就餐费。单位全年安排的国内公务接待1批次，25人次。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3.51万元，决算数3.51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3.36万元，决算数3.36万元，预决算差异率0.00%，主要原因是：严格按照预算执行，预决算无差异。公务接待费全年预算数0.15万元，决算数0.15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2024年度昌吉回族自治州妇女联合会（行政单位和参照公务员法管理事业单位）机关运行经费支出26.18万元，比上年减少9.16万元，下降25.92%，主要原因是：严控经费支出，厉行节约，减少办公费、差旅费。</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2024年度政府采购支出总额7.58万元，其中：政府采购货物支出6.58万元、政府采购工程支出0.00万元、政府采购服务支出1.00万元。</w:t>
      </w:r>
    </w:p>
    <w:p>
      <w:pPr>
        <w:spacing w:line="580" w:lineRule="exact"/>
        <w:ind w:firstLine="640"/>
        <w:jc w:val="both"/>
      </w:pPr>
      <w:r>
        <w:rPr>
          <w:rFonts w:ascii="仿宋_GB2312" w:hAnsi="仿宋_GB2312" w:eastAsia="仿宋_GB2312"/>
          <w:b w:val="0"/>
          <w:sz w:val="32"/>
        </w:rPr>
        <w:t>授予中小企业合同金额7.58万元，占政府采购支出总额的100.00%，其中：授予小微企业合同金额7.58万元，占政府采购支出总额的100.00%。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2辆，价值41.09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629.93万元，实际执行总额622.57万元；预算绩效评价项目3个，全年预算数235.14万元，全年执行数235.14万元。预算绩效管理取得的成效：始终保持政治上的清醒和坚定，牢牢把握妇女事业的政治属性和妇联组织的政治定位，加强妇女思想政治引领。坚持将习近平新时代中国特色社会主义思想和习近平关于妇女儿童和妇联工作重要讲话作为“第一议题”来学习、“第一遵循”来贯彻、“第一政治要件”来落实,引领服务广大妇女群众坚定不移听党话、跟党走。采取班子示范学、集中研讨学、专题培训辅导学、县市乡(镇)村(社区)妇联覆盖学等多种形式，推动党纪学习教育走深走实，举办专题读书班2期、理论学习中心组学习6次，讲纪律党课7场次。持续深化“巾帼心向党”等主题宣传活动，四级“石榴花”巾帼宣讲队开展宣讲百余场次，受益人数达 10万余人次。不断提升“昌吉女声”品牌传播力影响力，开辟“巾帼大学习”、“巾帼建新功”、“讲好昌吉巾帼故事”等栏目，30多篇信息被新疆女声、人民日报客户端、中国妇女网等媒体转载。以“最美家庭”和青少年足球事业为“小切口”做好与援疆省市、兵地、南北疆和邻里之间四个维度的“三交”活动。组织近百名最美家庭、女企业家代表与和困地区、福建省、山西省“最美家庭”“女子足球队”开展深度交往交流交融活动。激励广天妇女锚定“九大产业集群”、“十大典范行动”，发挥自身优势和积极作用，成立女企业家协会，把150名来自各行各业女性凝聚在一起，共谋发展。邀请深圳、福建、山西、山东等地女企业家来昌考察交流、投资兴业。推动“美丽庭院”提档升级。发现的问题及原因：一是党建带妇建，党建引领妇联的机制落实还不到位，基层妇联干部的履职能力和适应新形势下妇联组织团结引领妇女的能力还有待提高，干部队伍素质还需进一步提升；二是家庭教育指导体系尚未完善，专业力量不足，现有的家庭教育社会组织及家庭教育指导服务机构无法满足广大家庭的需求，家庭教育理念传播宣传力度还不够深入，维护妇女儿童权益，促进家庭和谐工作还需要进一步加强；三是农村妇女学习和运用国家通用语言文字水平有待提升，特别是在传播和弘扬中华优秀传统文化，铸牢中华民族共同体意识上有待创新工作思路。下一步改进措施：一是强化党建带妇建、妇建促党建，不断夯实妇联基层基础。加强对各级、各部门、高校、两新组织妇联组织建设的指导，狠抓妇女干部队伍能力提升；二是通过上下联动、整合资源同步开展引导服务，广泛传播推广，探索形成年度家庭教育主题培育实践的工作模式，营造有利于儿童健康成长的家庭和社会环境。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昌吉回族自治州妇女联合会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478.49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539.70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539.70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478.49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629.93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622.57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全面贯彻落实党的二十大精神，深入贯彻落实习近平总书记关于妇女儿童和家庭以及妇联工作的重要论述，深化实施“石榴花开耀天山”工程，着力强化妇女思想政治引领、着力团结妇女奋进新征程、建功新时代，着力加强家庭家教家风建设，着力做实联系服务妇女工作，着力深化妇联组织改革，有效发挥桥梁纽带作用，深化乡村振兴巾帼行动，加大妇女技能培训力度，持续深入开展“石榴花文化润疆进家庭”行动、完善家庭教育指导服务体系，做好妇女法治宣传教育，加强妇联基层阵地建设，锻造过硬妇联干部队伍，为建设推进中国式现代化新疆实践的典范地州贡献巾帼力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629.93万元，全年执行数为622.57万元，总预算执行率为98.83%。2024年我完成以下工作内容：1.开展“石榴花”普法大讲堂7场次；2.打造州级“石榴花”妇女儿童维权工作室10个；3.建立“石榴花”亲子阅读基地10个；4.开展“石榴花”巾帼大宣讲8次；5.开展三八妇女节活动1次；6.建立“石榴花”巾帼创业就业基地7个；7.开展巾帼家政技能培训示范班7场次。通过以上工作的实施，提升了妇女儿童的幸福感，促进了政府与各级妇女儿童的交往。</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开展“石榴花“普法大讲堂”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打造州级“石榴花”妇女儿童维权工作室</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建立“石榴花”亲子阅读基地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开展“石榴花”巾帼大宣讲</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开展三八妇女节活动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建立“石榴花”巾帼创业就业基地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开展巾帼家政技能培训示范班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2024年全国万人集体婚礼（昌吉分会场）项目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昌吉回族自治州妇女联合会本级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响应全国妇联的号召，2024年该项目计划按时按期举办全国万人集体婚礼新疆昌吉州分会场活动。参加婚礼活动新人人数达到52人，集体婚礼活动验收合格率达到98%。通过该项目的实施，全力推进移风易俗和新型婚育文化培育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截至2024年12月31日，该项目实际完成全国万人集体婚礼新疆昌吉州分会场活动1场；参加婚礼活动新人人数52人，集体婚礼活动验收合格率达到100%。通过该项目的实施，全力推进移风易俗和新型婚育文化培育工作。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举办2024年全国万人集体婚礼（昌吉分会场）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参加婚礼活动新人人数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集体婚礼活动验收合格率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因年初指标设置较低，实际实施情况较好，集体婚礼活动验收合格率100%，超过预期完成值，因此产生偏差。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集体婚礼同步全国集体婚礼完成时间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2024年9月22日前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活动策划成本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活动宣传成本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推进移风易俗工作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参与集体婚礼新人满意度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因年初指标设置较低，实际实施情况较好，参与集体婚礼新人满意度达到了100%，超过预期完成值，因此产生偏差。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妇女儿童工作经费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昌吉回族自治州妇女联合会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昌吉回族自治州妇女联合会本级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坚持已习近平新时代中国特色社会主义思想为指导，全面加强妇女思想政治引领，按照州党委、政府以及贼去妇联重点工作部署，深入开展“石榴花开耀天山工程”，扎实开展“石榴花”普法大讲堂、“石榴花”巾帼大宣讲、石榴花志愿服务活动、家庭教育工作、儿童关心关爱活动、“三八”妇女节系列活动、乡村振兴巾帼行动、“石榴花”最美家庭交往交流交融活动以及两规划及儿童友好社区建设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打造州级石榴花妇女儿童维权工作室7个，各县市开展石榴花大宣讲5次，建立“石榴花”巾帼创业就业基地7个，建立“石榴花”亲子阅读基地10个，开展“石榴花”普法大讲堂8次，开展巾帼家政技能培训示范班7场，开展三八妇女节活动1次，命名“自治区石榴花巾帼基地”1个。通过该项目的实施，提升了妇女儿童的幸福感，促进了政府与各级妇女儿童的交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打造州级“石榴花”妇女儿童维权工作室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开展“石榴花“普法大讲堂”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建立“石榴花”亲子阅读基地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开展“石榴花”巾帼大宣讲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开展三八妇女节活动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建立“石榴花”巾帼创业就业基地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开展巾帼家政技能培训示范班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命名“自治区石榴花巾帼基地”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各县市开展石榴花大宣讲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因年初设置指标较低，实际实施情况较好，各项工作均完成，完成率达到100%，超过预期完成值，因此产生偏差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&lt;=124.85万元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=124.85万元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全面加强妇女思想政治引领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依法维护妇女儿童合法权益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妇女对妇联工作满意度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因年初设置指标较低，实际实施情况较好，妇女对妇联工作满意度达到了100%，超过预期完成值，因此产生偏差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昌吉回族自治州妇女联合会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昌吉回族自治州妇女联合会本级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组织1次四级妇联干部赴福建开展妇女儿童工作专业化能力提升培训，组织1次最美家庭赴山西开展了交往交流交融活动，开展1次邀请福建省最美家庭来昌开展交流活动。通过该项目的实施，促进各民族交往交流交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组织四级妇联干部赴福建开展妇女儿童工作专业化能力提升培训1次，组织1次最美家庭赴山西开展了交往交流交融活动1次，邀请福建省最美家庭来昌开展交流活动1次。通过该项目的实施，促进各民族交往交流交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开展能力提升培训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组织最美家庭赴山西开展三交活动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邀请福建最美家庭来昌开展交流活动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活动参与人员保障覆盖率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交流活动支出成本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促进各民族交往交流交融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活动成员满意度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项目完成较好，活动参与人员满意度均为100%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