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昌吉回族自治州第二人民医院2024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为全州提供各类传染病、地方病的临床诊疗服务，开展各类传染病、地方病防治研究；承担传染病防治专业人员的临床医疗相关技术培训、健康教育；承担公共卫生服务职能及突发事件紧急医疗救援等工作；指导各县市医疗卫生单位开展传染病临床诊疗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昌吉回族自治州第二人民医院2024年度，实有人数26人，其中：在职人员26人，增加5人；离休人员0人，增加0人；退休人员0人,增加0人。</w:t>
      </w:r>
    </w:p>
    <w:p>
      <w:pPr>
        <w:spacing w:line="580" w:lineRule="exact"/>
        <w:ind w:firstLine="640"/>
        <w:jc w:val="both"/>
      </w:pPr>
      <w:r>
        <w:rPr>
          <w:rFonts w:ascii="仿宋_GB2312" w:hAnsi="仿宋_GB2312" w:eastAsia="仿宋_GB2312"/>
          <w:sz w:val="32"/>
        </w:rPr>
        <w:t>昌吉回族自治州第二人民医院无下属预算单位，下设7个科室，分别是：党群服务部、运营服务部、后勤服务部、医疗服务部、护理服务部、呼吸一科、综合内科。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2024年度收入总计2,687.34万元，</w:t>
      </w:r>
      <w:r>
        <w:rPr>
          <w:rFonts w:ascii="仿宋_GB2312" w:hAnsi="仿宋_GB2312" w:eastAsia="仿宋_GB2312"/>
          <w:b w:val="0"/>
          <w:sz w:val="32"/>
        </w:rPr>
        <w:t>其中：本年收入合计2,649.36万元，使用非财政拨款结余（含专用结余）0.00万元，年初结转和结余37.98万元。</w:t>
      </w:r>
    </w:p>
    <w:p>
      <w:pPr>
        <w:spacing w:line="580" w:lineRule="exact"/>
        <w:ind w:firstLine="640"/>
        <w:jc w:val="both"/>
      </w:pPr>
      <w:r>
        <w:rPr>
          <w:rFonts w:ascii="仿宋_GB2312" w:hAnsi="仿宋_GB2312" w:eastAsia="仿宋_GB2312"/>
          <w:b/>
          <w:sz w:val="32"/>
        </w:rPr>
        <w:t>2024年度支出总计2,687.34万元，</w:t>
      </w:r>
      <w:r>
        <w:rPr>
          <w:rFonts w:ascii="仿宋_GB2312" w:hAnsi="仿宋_GB2312" w:eastAsia="仿宋_GB2312"/>
          <w:b w:val="0"/>
          <w:sz w:val="32"/>
        </w:rPr>
        <w:t>其中：本年支出合计2,647.95万元，结余分配0.00万元，年末结转和结余39.39万元。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1,618.22万元，增长151.36%，主要原因是：本单位是2023年新增单位，2023年11月才投入运营，收支为2个月的经费，2024年医院正常运营，收支为全年经费，在职人员增加，人员工资调增，相关人员经费增加；新增重大公共卫生服务项目、2024年中央医疗服务与保障能力提升（医疗卫生机构能力建设、卫生健康人才培养）补助资金、2024年中央财政重大传染病防控经费、2023年中央财政第二批重大传染病防空经费，第二人民医院运转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本年收入2,649.36万元，</w:t>
      </w:r>
      <w:r>
        <w:rPr>
          <w:rFonts w:ascii="仿宋_GB2312" w:hAnsi="仿宋_GB2312" w:eastAsia="仿宋_GB2312"/>
          <w:b w:val="0"/>
          <w:sz w:val="32"/>
        </w:rPr>
        <w:t>其中：财政拨款收入2,450.82万元，占92.51%；上级补助收入0.00万元，占0.00%；事业收入152.84万元，占5.77%；经营收入0.00万元，占0.00%；附属单位上缴收入0.00万元，占0.00%；其他收入45.70万元，占1.72%。</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本年支出2,647.95万元，</w:t>
      </w:r>
      <w:r>
        <w:rPr>
          <w:rFonts w:ascii="仿宋_GB2312" w:hAnsi="仿宋_GB2312" w:eastAsia="仿宋_GB2312"/>
          <w:b w:val="0"/>
          <w:sz w:val="32"/>
        </w:rPr>
        <w:t>其中：基本支出664.46万元，占25.09%；项目支出1,983.49万元，占74.91%；上缴上级支出0.00万元，占0.00%；经营支出0.00万元，占0.00%；对附属单位补助支出0.00万元，占0.00%。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2024年度财政拨款收入总计2,450.82万元，</w:t>
      </w:r>
      <w:r>
        <w:rPr>
          <w:rFonts w:ascii="仿宋_GB2312" w:hAnsi="仿宋_GB2312" w:eastAsia="仿宋_GB2312"/>
          <w:b w:val="0"/>
          <w:sz w:val="32"/>
        </w:rPr>
        <w:t>其中：年初财政拨款结转和结余0.00万元，本年财政拨款收入2,450.82万元。</w:t>
      </w:r>
      <w:r>
        <w:rPr>
          <w:rFonts w:ascii="仿宋_GB2312" w:hAnsi="仿宋_GB2312" w:eastAsia="仿宋_GB2312"/>
          <w:b/>
          <w:sz w:val="32"/>
        </w:rPr>
        <w:t>财政拨款支出总计2,450.82万元，</w:t>
      </w:r>
      <w:r>
        <w:rPr>
          <w:rFonts w:ascii="仿宋_GB2312" w:hAnsi="仿宋_GB2312" w:eastAsia="仿宋_GB2312"/>
          <w:b w:val="0"/>
          <w:sz w:val="32"/>
        </w:rPr>
        <w:t>其中：年末财政拨款结转和结余0.00万元，本年财政拨款支出2,450.82万元。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1,441.29万元，增长142.77%，主要原因是：本单位是2023年新增单位，2023年11月才投入运营，收支为2个月的经费，2024年医院正常运营，收支为全年经费，在职人员增加，人员工资调增，相关人员经费增加；新增重大公共卫生服务项目、2024年中央医疗服务与保障能力提升（医疗卫生机构能力建设、卫生健康人才培养）补助资金、2024年中央财政重大传染病防控经费、2023年中央财政第二批重大传染病防空经费，第二人民医院运转项目。</w:t>
      </w:r>
      <w:r>
        <w:rPr>
          <w:rFonts w:ascii="仿宋_GB2312" w:hAnsi="仿宋_GB2312" w:eastAsia="仿宋_GB2312"/>
          <w:b/>
          <w:sz w:val="32"/>
        </w:rPr>
        <w:t>与年初预算相比，</w:t>
      </w:r>
      <w:r>
        <w:rPr>
          <w:rFonts w:ascii="仿宋_GB2312" w:hAnsi="仿宋_GB2312" w:eastAsia="仿宋_GB2312"/>
          <w:b w:val="0"/>
          <w:sz w:val="32"/>
        </w:rPr>
        <w:t>年初预算数2,318.08万元，决算数2,450.82万元，预决算差异率5.73%，主要原因是：本年在职人员增加，年中追加人员经费及人员工资、社保、公积金基数调增部分资金及2024年中央医疗服务与保障能力提升（医疗卫生机构能力建设、卫生健康人才培养）补助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2024年度一般公共预算财政拨款支出2,450.82万元，</w:t>
      </w:r>
      <w:r>
        <w:rPr>
          <w:rFonts w:ascii="仿宋_GB2312" w:hAnsi="仿宋_GB2312" w:eastAsia="仿宋_GB2312"/>
          <w:b w:val="0"/>
          <w:sz w:val="32"/>
        </w:rPr>
        <w:t>占本年支出合计的92.56%。</w:t>
      </w:r>
      <w:r>
        <w:rPr>
          <w:rFonts w:ascii="仿宋_GB2312" w:hAnsi="仿宋_GB2312" w:eastAsia="仿宋_GB2312"/>
          <w:b/>
          <w:sz w:val="32"/>
        </w:rPr>
        <w:t>与上年相比，</w:t>
      </w:r>
      <w:r>
        <w:rPr>
          <w:rFonts w:ascii="仿宋_GB2312" w:hAnsi="仿宋_GB2312" w:eastAsia="仿宋_GB2312"/>
          <w:b w:val="0"/>
          <w:sz w:val="32"/>
        </w:rPr>
        <w:t>增加1,441.29万元，增长142.77%，主要原因是：本单位是2023年新增单位，2023年11月才投入运营，支出为2个月的经费，2024年医院正常运营，支出为全年经费，在职人员增加，人员工资调增，相关人员经费增加；新增重大公共卫生服务项目、2024年中央医疗服务与保障能力提升（医疗卫生机构能力建设、卫生健康人才培养）补助资金、2024年中央财政重大传染病防控经费、2023年中央财政第二批重大传染病防空经费，第二人民医院运转项目。</w:t>
      </w:r>
      <w:r>
        <w:rPr>
          <w:rFonts w:ascii="仿宋_GB2312" w:hAnsi="仿宋_GB2312" w:eastAsia="仿宋_GB2312"/>
          <w:b/>
          <w:sz w:val="32"/>
        </w:rPr>
        <w:t>与年初预算相比,</w:t>
      </w:r>
      <w:r>
        <w:rPr>
          <w:rFonts w:ascii="仿宋_GB2312" w:hAnsi="仿宋_GB2312" w:eastAsia="仿宋_GB2312"/>
          <w:b w:val="0"/>
          <w:sz w:val="32"/>
        </w:rPr>
        <w:t>年初预算数2,318.08万元，决算数2,450.82万元，预决算差异率5.73%，主要原因是：本年在职人员增加，年中追加人员经费及人员工资、社保、公积金基数调增部分资金及2024年中央医疗服务与保障能力提升（医疗卫生机构能力建设、卫生健康人才培养）补助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1.社会保障和就业支出(类)60.39万元,占2.46%。</w:t>
      </w:r>
    </w:p>
    <w:p>
      <w:pPr>
        <w:spacing w:line="580" w:lineRule="exact"/>
        <w:ind w:firstLine="640"/>
        <w:jc w:val="both"/>
      </w:pPr>
      <w:r>
        <w:rPr>
          <w:rFonts w:ascii="仿宋_GB2312" w:hAnsi="仿宋_GB2312" w:eastAsia="仿宋_GB2312"/>
          <w:b w:val="0"/>
          <w:sz w:val="32"/>
        </w:rPr>
        <w:t>2.卫生健康支出(类)2,359.51万元,占96.27%。</w:t>
      </w:r>
    </w:p>
    <w:p>
      <w:pPr>
        <w:spacing w:line="580" w:lineRule="exact"/>
        <w:ind w:firstLine="640"/>
        <w:jc w:val="both"/>
      </w:pPr>
      <w:r>
        <w:rPr>
          <w:rFonts w:ascii="仿宋_GB2312" w:hAnsi="仿宋_GB2312" w:eastAsia="仿宋_GB2312"/>
          <w:b w:val="0"/>
          <w:sz w:val="32"/>
        </w:rPr>
        <w:t>3.住房保障支出(类)30.92万元,占1.26%。</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机关事业单位基本养老保险缴费支出(项):支出决算数为39.70万元，比上年决算增加17.29万元，增长77.15%,主要原因是：本单位是2023年新增单位，2023年11月才投入运营，支出为2个月的经费，2024年医院正常运营，支出为全年经费，在职人员增加，人员工资调增，养老保险缴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职业年金缴费支出(项):支出决算数为20.69万元，比上年决算增加9.49万元，增长84.73%,主要原因是：本单位是2023年新增单位，2023年11月才投入运营，支出为2个月的经费，2024年医院正常运营，支出为全年经费，在职人员增加，人员工资调增，职业年金缴费支出增加。</w:t>
      </w:r>
    </w:p>
    <w:p>
      <w:pPr>
        <w:spacing w:line="580" w:lineRule="exact"/>
        <w:ind w:firstLine="640"/>
        <w:jc w:val="both"/>
      </w:pPr>
      <w:r>
        <w:rPr>
          <w:rFonts w:ascii="仿宋_GB2312" w:hAnsi="仿宋_GB2312" w:eastAsia="仿宋_GB2312"/>
          <w:b w:val="0"/>
          <w:sz w:val="32"/>
        </w:rPr>
        <w:t>3.卫生健康支出(类)公立医院(款)综合医院(项):支出决算数为1,881.53万元，比上年决算增加1,054.92万元，增长127.62%,主要原因是：本单位是2023年新增单位，2023年11月才投入运营，支出为2个月的经费，2024年医院正常运营，支出为全年经费，在职人员增加，人员工资调增，人员经费增加；增加第二人民医院运转项目。</w:t>
      </w:r>
    </w:p>
    <w:p>
      <w:pPr>
        <w:spacing w:line="580" w:lineRule="exact"/>
        <w:ind w:firstLine="640"/>
        <w:jc w:val="both"/>
      </w:pPr>
      <w:r>
        <w:rPr>
          <w:rFonts w:ascii="仿宋_GB2312" w:hAnsi="仿宋_GB2312" w:eastAsia="仿宋_GB2312"/>
          <w:b w:val="0"/>
          <w:sz w:val="32"/>
        </w:rPr>
        <w:t>4.卫生健康支出(类)公共卫生(款)重大公共卫生服务(项):支出决算数为456.45万元，比上年决算增加456.45万元，增长100.00%,主要原因是：本年新增重大公共卫生服务项目、2024年中央医疗服务与保障能力提升（医疗卫生机构能力建设、卫生健康人才培养）补助资金、2024年中央财政重大传染病防控经费、2023年中央财政第二批重大传染病防空经费。</w:t>
      </w:r>
    </w:p>
    <w:p>
      <w:pPr>
        <w:spacing w:line="580" w:lineRule="exact"/>
        <w:ind w:firstLine="640"/>
        <w:jc w:val="both"/>
      </w:pPr>
      <w:r>
        <w:rPr>
          <w:rFonts w:ascii="仿宋_GB2312" w:hAnsi="仿宋_GB2312" w:eastAsia="仿宋_GB2312"/>
          <w:b w:val="0"/>
          <w:sz w:val="32"/>
        </w:rPr>
        <w:t>5.卫生健康支出(类)公共卫生(款)其他公共卫生支出(项):支出决算数为0.00万元，比上年决算减少118.65万元，下降100.00%,主要原因是：本年减少州直医疗机构疫情防控保障资金。</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20.17万元，比上年决算增加8.72万元，增长76.16%,主要原因是：本单位是2023年新增单位，2023年11月才投入运营，支出为2个月的经费，2024年医院正常运营，支出为全年经费，在职人员增加，人员工资调增，单位医疗缴费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1.25万元，比上年决算增加0.53万元，增长73.61%,主要原因是：本单位是2023年新增单位，2023年11月才投入运营，支出为2个月的经费，2024年医院正常运营，支出为全年经费，在职人员增加，人员工资调增，单位医疗缴费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0.11万元，比上年决算增加0.11万元，增长100.00%,主要原因是：本年科目调整，其他行政事业单位医疗支出上年在主款列支，本年单独列支，导致经费增加。</w:t>
      </w:r>
    </w:p>
    <w:p>
      <w:pPr>
        <w:spacing w:line="580" w:lineRule="exact"/>
        <w:ind w:firstLine="640"/>
        <w:jc w:val="both"/>
      </w:pPr>
      <w:r>
        <w:rPr>
          <w:rFonts w:ascii="仿宋_GB2312" w:hAnsi="仿宋_GB2312" w:eastAsia="仿宋_GB2312"/>
          <w:b w:val="0"/>
          <w:sz w:val="32"/>
        </w:rPr>
        <w:t>9.住房保障支出(类)住房改革支出(款)住房公积金(项):支出决算数为30.92万元，比上年决算增加12.44万元，增长67.32%,主要原因是：本单位是2023年新增单位，2023年11月才投入运营，支出为2个月的经费，2024年医院正常运营，支出为全年经费，在职人员增加，人员工资调增，住房公积金缴费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2024年度一般公共预算财政拨款基本支出509.07万元，其中：</w:t>
      </w:r>
      <w:r>
        <w:rPr>
          <w:rFonts w:ascii="仿宋_GB2312" w:hAnsi="仿宋_GB2312" w:eastAsia="仿宋_GB2312"/>
          <w:b/>
          <w:sz w:val="32"/>
        </w:rPr>
        <w:t>人员经费387.21万元，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w:t>
      </w:r>
    </w:p>
    <w:p>
      <w:pPr>
        <w:spacing w:line="580" w:lineRule="exact"/>
        <w:ind w:firstLine="640"/>
        <w:jc w:val="both"/>
      </w:pPr>
      <w:r>
        <w:rPr>
          <w:rFonts w:ascii="仿宋_GB2312" w:hAnsi="仿宋_GB2312" w:eastAsia="仿宋_GB2312"/>
          <w:b/>
          <w:sz w:val="32"/>
        </w:rPr>
        <w:t>公用经费121.86万元，</w:t>
      </w:r>
      <w:r>
        <w:rPr>
          <w:rFonts w:ascii="仿宋_GB2312" w:hAnsi="仿宋_GB2312" w:eastAsia="仿宋_GB2312"/>
          <w:b w:val="0"/>
          <w:sz w:val="32"/>
        </w:rPr>
        <w:t>包括：办公费、取暖费、差旅费、公务接待费、工会经费、福利费、公务用车运行维护费、其他商品和服务支出。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2024年度财政拨款“三公”经费支出18.09万元，</w:t>
      </w:r>
      <w:r>
        <w:rPr>
          <w:rFonts w:ascii="仿宋_GB2312" w:hAnsi="仿宋_GB2312" w:eastAsia="仿宋_GB2312"/>
          <w:b w:val="0"/>
          <w:sz w:val="32"/>
        </w:rPr>
        <w:t>比上年增加0.97万元，增长5.67%，主要原因是：本单位是2023年新增单位，2023年11月才投入运营，支出为2个月的经费，2024年医院正常运营，支出为全年经费，导致公务用车运行维护费增加。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17.94万元，占99.17%，比上年增加0.82万元，增长4.79%，主要原因是：本单位是2023年新增单位，2023年11月才投入运营，支出为2个月的经费，2024年医院正常运营，支出为全年经费，导致公务用车运行维护费增加。</w:t>
      </w:r>
      <w:r>
        <w:rPr>
          <w:rFonts w:ascii="仿宋_GB2312" w:hAnsi="仿宋_GB2312" w:eastAsia="仿宋_GB2312"/>
          <w:b w:val="0"/>
          <w:sz w:val="32"/>
        </w:rPr>
        <w:t>公务接待费支出0.15万元，占0.83%，比上年增加0.15万元，增长100.00%，主要原因是：本年因业务需求，增加公务接待工作，导致公务接待费较上年增加。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17.94万元，其中：公务用车购置费0.00万元，公务用车运行维护费17.94万元。公务用车运行维护费开支内容包括车辆加油费、维修费、保险费、审车费、过路费。公务用车购置数0辆，公务用车保有量5辆。国有资产占用情况中固定资产车辆5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公务接待费0.15万元，开支内容包括因三次政务大厅开标，中午评标专家工作餐及福建医科大学孟超肝胆医院来院举行签约挂牌仪式的就餐费。单位全年安排的国内公务接待3批次，18人次。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18.09万元，决算数18.09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17.94万元，决算数17.94万元，预决算差异率0.00%，主要原因是：严格按照预算执行，预决算无差异。公务接待费全年预算数0.15万元，决算数0.15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第二人民医院（事业单位）公用经费支出121.86万元，比上年增加26.68万元，增长28.03%，主要原因是：本单位是2023年新增单位，2023年11月才投入运营，支出为2个月的经费，2024年医院正常运营，支出为全年经费，导致公用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2024年度政府采购支出总额1,481.44万元，其中：政府采购货物支出680.38万元、政府采购工程支出0.00万元、政府采购服务支出801.06万元。</w:t>
      </w:r>
    </w:p>
    <w:p>
      <w:pPr>
        <w:spacing w:line="580" w:lineRule="exact"/>
        <w:ind w:firstLine="640"/>
        <w:jc w:val="both"/>
      </w:pPr>
      <w:r>
        <w:rPr>
          <w:rFonts w:ascii="仿宋_GB2312" w:hAnsi="仿宋_GB2312" w:eastAsia="仿宋_GB2312"/>
          <w:b w:val="0"/>
          <w:sz w:val="32"/>
        </w:rPr>
        <w:t>授予中小企业合同金额1,481.44万元，占政府采购支出总额的100.00%，其中：授予小微企业合同金额1,481.44万元，占政府采购支出总额的100.00%。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5辆，价值154.21万元，其中：副部（省）级及以上领导用车0辆、主要负责人用车0辆、机要通信用车0辆、应急保障用车0辆、执法执勤用车0辆、特种专业技术用车4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2,689.94万元，实际执行总额2,647.95万元；预算绩效评价项目3个，全年预算数964.37万元，全年执行数962.92万元。预算绩效管理取得的成效：一是理念深入人心，从“重分配、轻管理”转向“花钱必问效，无效必问责"，全员绩效意识普遍增强。二是管理体系是日趋健全，实现了绩效目标设定、运行监控、评价及结果应用的全链条管理，覆盖所有财政资金。三是资金使用效益提升，通过将评价结果与预算安排挂钩，有效压减了无效支出，保障了资金向重点项目和民生项目领域倾斜，公共服务质量与资源配置效率得到显著优化。发现的问题及原因：通过对部门整体绩效目标完成情况的评价，存在的主要问题是年初确定的管理效率指标“门急诊人次”、“出院病人”“开设科室”“实际开放床位”都没有完成，且指标完成率较低。原因有两点，一是因医院2023年11月才开始投入运营，2024年初制定绩效目标时因没有上年度参照指标，指标设置过于理想化，不科学、不精准，与实际运营情况存在偏差。二是因医院新成立，社会影响力不足，且诊疗范围主要是各类传染性、感染性疾病，诊疗范围有限，且远离市区，周边无居民区，患者较少，且医院工作人员主要是新招录工作人员，缺少高年资医务人员及学科带头人，人力资源配置与目标要求不匹配，设备、物资等硬件资源支持不足，信息化建设与医院实际需求存在偏差，诊疗能力有限。下一步改进措施：一是优化目标设定与资源配置。在下年度设定绩效目标时遵循具体、可衡量、可实现、相关性、时限性等原则，确保目标符合实际运营能力。二是优化管理流程，推行电子化办公，提高行政效率，建立跨部门协作机制，定期召开绩效分析会议，确保目标协同推进。三是加强资源保障与培训根据各科室特点调整人力、设备及预算支持，确保资源与目标匹配，合理配置人力设备等资源，确保关键业务顺利开展，开展绩效管理培训，提升员工目标意识和执行能力。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昌吉回族自治州第二人民医院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9.84</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977.16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2,453.42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2,450.82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1,340.92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236.52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197.13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2,318.08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2,689.94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2,647.95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打造专科特色鲜明的现代化综合医院，大力发展特色专科，把人才作为第一资源优先发展，加快开发先进医疗技术，全面强化专科综合实力，加强医疗质量和医疗安全，门急诊诊疗总人次2000人次以上，出院病人1500人次以上，年度综合病床使用率不低于60%，临床科室由目前的2个增加到4个，开放床位达到105张。</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2689.94万元，全年执行数为2647.95万元，总预算执行率为98.44%。2024年我单位完成以下工作内容：1门急诊人次1092人次；2.出院病人403人次；3.综合病床使用率35.23%；4.临床科室3个；5.开放床位50张；6.完成信息化平台的搭建；7.采购医疗设备一批。通过以上工作的实施，医院的医疗服务能力逐步提升，患者满意度达到95%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门急诊人次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昌吉州第二人民医院2024年工作计划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1092人次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5.46</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出院病人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昌吉州第二人民医院2024年工作计划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403人次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开设科室</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昌吉州第二人民医院2024年工作计划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实际开放床位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=105张</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昌吉州第二人民医院2024年工作计划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50张</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3.81</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药品收入占医疗收入的比重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昌吉州第二人民医院2024年工作计划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医疗服务性收入占医疗收入比重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昌吉州第二人民医院2024年工作计划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百元医疗收入（不含药品收入）中卫生材料收入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昌吉州第二人民医院2024年工作计划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5.17元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出院者平均住院天数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昌吉州第二人民医院2024年工作计划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15.45天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2.32</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医疗服务能力逐步提升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昌吉州第二人民医院2024年工作计划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可持续发展能力</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完成医院信息化平台建设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昌吉州第二人民医院2024年工作计划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完成列入预算项目医疗设备采购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昌吉州第二人民医院2024年工作计划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服务患者满意度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昌吉州第二人民医院2024年工作计划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2024年中央医疗服务与保障能力提升（医疗卫生机构能力建设、卫生健康人才培养)项目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购置传染病防治相关设备支气管镜1套，购置冷冻治疗仪1台，购置氩气高频电刀1台，购置内镜清洗清洗零部件一套，购置全自动分枝杆菌培养仪BD-960（进口）1台，购置生物信息红外肝病治疗仪1台，购置相关医疗器械及试剂耗材一批。通过该项目的实施，使医院传染病防控综合能力提到逐步提升，受益患者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购置支气管镜1套，购置冷冻治疗仪1台，购置氩气高频电刀1台，购置内镜清洗清洗零部件一套，购置全自动分枝杆菌培养仪BD-960（进口）1台，购置生物信息红外肝病治疗仪1台，购置相关医疗器械及试剂耗材一批。通过该项目的实施，医院传染病防控综合能力得到逐步提升，采益患者满意度达到90%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购置支气管镜数量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购置冷冻治疗仪数量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购置氩气高频电刀数量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购置内镜清洗清洗零部件数量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购置生物信息红外肝病治疗仪数量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购置BD-960数量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支气管镜购置单价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&lt;=233万元/套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=188.19万元/套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公开招标后，中标单价与预算单价产生差异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BD-960购置单价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&lt;=90万元/台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=88.6万元/台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公开招标后，中标单价与预算单价产生差异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肝病治疗仪购置单价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=13.98万元/台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公开招标后，中标单价与预算单价产生差异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购置冷冻治疗仪单价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&lt;=40万元/台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=38万元/台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公开招标后，中标单价与预算单价产生差异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氩气高频电刀购置单价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&lt;=17万元/台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=15.9万元/台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公开招标后，中标单价与预算单价产生差异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内镜清洗设备零部件购置单价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=2.9万元/套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公开招标后，中标单价与预算单价产生差异</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提升传染病防控能力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达到预期目标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受益患者满意度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2024年中央财政重大传染病防控项目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8.27</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2024年该项目计划采购结核病专用检测设备结核分枝杆菌扫描仪，通过该项目的实施 将进一步加强医院重大传染病（结核病）防控能力，医院传染病诊病能力及实验室检测能力也将得到提升。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截止2024年12月31日，该项目实际完成采购结核分枝杆菌扫描仪一台，通过该项目的实施，进一步加强了医院重大传染病尤其是结核病的防控能力，医院传染病诊疗能力及实验室检测能力也得到了提升。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购置仪器设备数量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专用设备购置单价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&lt;=21万元/台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=19.55万元/台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公开招标后，设备中标单位低于预算单价</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提升传染病防控能力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服务患者满意度（%）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94.82分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昌吉回族自治州第二人民医院运转项目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543.37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543.37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543.37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543.37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州党委、州人民政府关于加快州二医院投入运营，尽快形成传染性疾病预防诊治和公共卫生服务能力的要求，以及主要开展新发、突发传染病、地方病的临床诊疗、医疗救治的功能定位，紧紧围绕州二医院“小综合、大专科”运营，用足用好国家和区、州有关政策，发展成为全州各类感染性、传染性疾病的医疗、教学、科研、预防和公共卫生服务专科医院，财政需要投入项目资金543.37万元保障正常运营所需经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印刷医疗文书23230本，医疗垃圾处置12191千克，采购动态心电图1套，采购动态血压计1套，完成信息化（二期）建设，完成正常运营所需的水、电、暖、后勤物资、医疗设备年检、特种设备维保、劳务派遣及物业保洁等保障，使医院投入正常运转，积极发挥传染病预防诊治和公共卫生服务的作用，开展了新发、突发传染病的临床诊疗和救治。</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印刷医疗文书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=23230本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根据医院实际需求印刷，超过年初预算</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医疗垃圾处置数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&gt;=15000千克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=12191千克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81.27%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实际产生医疗垃圾低于年初预算数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采购动态心电图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采购动态血压计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完成信息化建设（二期）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年初指标设置过低，信息化平台验收率应等于100%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信息化平台验收合格率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印刷品及其他物资验收合格率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商品服务支出成本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&lt;=474.37万元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资本性支出成本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公开招标后中标单位低于预算单价</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信息化支出成本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公开招标后中标单位低于预算单价</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提高传染病救治能力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服务患者满意度（%）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