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昌吉回族自治州人民政府办公室2024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（一）根据自治州人民政府领导的要求，组织起草或审核以自治州人民政府或自治州人民政府办公室名义发布的文件。</w:t>
      </w:r>
    </w:p>
    <w:p>
      <w:pPr>
        <w:spacing w:line="580" w:lineRule="exact"/>
        <w:ind w:firstLine="640"/>
        <w:jc w:val="both"/>
      </w:pPr>
      <w:r>
        <w:rPr>
          <w:rFonts w:ascii="仿宋_GB2312" w:hAnsi="仿宋_GB2312" w:eastAsia="仿宋_GB2312"/>
          <w:sz w:val="32"/>
        </w:rPr>
        <w:t>（二）负责自治州人民政府会议的会务工作，协助自治州人民政府领导同志组织实施会议决定事项。</w:t>
      </w:r>
    </w:p>
    <w:p>
      <w:pPr>
        <w:spacing w:line="580" w:lineRule="exact"/>
        <w:ind w:firstLine="640"/>
        <w:jc w:val="both"/>
      </w:pPr>
      <w:r>
        <w:rPr>
          <w:rFonts w:ascii="仿宋_GB2312" w:hAnsi="仿宋_GB2312" w:eastAsia="仿宋_GB2312"/>
          <w:sz w:val="32"/>
        </w:rPr>
        <w:t>（三）研究审核自治州人民政府各部门和各县市（园区）人民政府（管委会）向自治州人民政府请示的事项，并提出拟办意见报自治州人民政府领导审批。</w:t>
      </w:r>
    </w:p>
    <w:p>
      <w:pPr>
        <w:spacing w:line="580" w:lineRule="exact"/>
        <w:ind w:firstLine="640"/>
        <w:jc w:val="both"/>
      </w:pPr>
      <w:r>
        <w:rPr>
          <w:rFonts w:ascii="仿宋_GB2312" w:hAnsi="仿宋_GB2312" w:eastAsia="仿宋_GB2312"/>
          <w:sz w:val="32"/>
        </w:rPr>
        <w:t>（四）督促检查贯彻党中央、国务院和区、州党委、政府重要文件、州人民政府会议决定事项及重要批示的落实情况并跟踪调研，及时向自治州人民政府领导同志报告；负责自治州人民政府领导督促检查的服务工作和组织协调工作。</w:t>
      </w:r>
    </w:p>
    <w:p>
      <w:pPr>
        <w:spacing w:line="580" w:lineRule="exact"/>
        <w:ind w:firstLine="640"/>
        <w:jc w:val="both"/>
      </w:pPr>
      <w:r>
        <w:rPr>
          <w:rFonts w:ascii="仿宋_GB2312" w:hAnsi="仿宋_GB2312" w:eastAsia="仿宋_GB2312"/>
          <w:sz w:val="32"/>
        </w:rPr>
        <w:t>（五）根据自治州人民政府领导同志的要求，组织专题调查研究，及时反映情况，提出建议；搜集整理政务信息，为领导提供信息服务。</w:t>
      </w:r>
    </w:p>
    <w:p>
      <w:pPr>
        <w:spacing w:line="580" w:lineRule="exact"/>
        <w:ind w:firstLine="640"/>
        <w:jc w:val="both"/>
      </w:pPr>
      <w:r>
        <w:rPr>
          <w:rFonts w:ascii="仿宋_GB2312" w:hAnsi="仿宋_GB2312" w:eastAsia="仿宋_GB2312"/>
          <w:sz w:val="32"/>
        </w:rPr>
        <w:t>（六）负责自治州人民政府总值班室工作，及时向自治州人民政府领导同志报告重要情况，协助自治州人民政府领导同志处理各部门和各县市（园区）向自治州人民政府反映的重要问题。</w:t>
      </w:r>
    </w:p>
    <w:p>
      <w:pPr>
        <w:spacing w:line="580" w:lineRule="exact"/>
        <w:ind w:firstLine="640"/>
        <w:jc w:val="both"/>
      </w:pPr>
      <w:r>
        <w:rPr>
          <w:rFonts w:ascii="仿宋_GB2312" w:hAnsi="仿宋_GB2312" w:eastAsia="仿宋_GB2312"/>
          <w:sz w:val="32"/>
        </w:rPr>
        <w:t>（七）负责自治州人民政府系统承办的人大代表议案、意见建议和政协委员提案的办理和答复工作。</w:t>
      </w:r>
    </w:p>
    <w:p>
      <w:pPr>
        <w:spacing w:line="580" w:lineRule="exact"/>
        <w:ind w:firstLine="640"/>
        <w:jc w:val="both"/>
      </w:pPr>
      <w:r>
        <w:rPr>
          <w:rFonts w:ascii="仿宋_GB2312" w:hAnsi="仿宋_GB2312" w:eastAsia="仿宋_GB2312"/>
          <w:sz w:val="32"/>
        </w:rPr>
        <w:t>（八）负责指导监督自治州政务公开及政府信息公开工作，协调推进自治州“放管服”改革工作。</w:t>
      </w:r>
    </w:p>
    <w:p>
      <w:pPr>
        <w:spacing w:line="580" w:lineRule="exact"/>
        <w:ind w:firstLine="640"/>
        <w:jc w:val="both"/>
      </w:pPr>
      <w:r>
        <w:rPr>
          <w:rFonts w:ascii="仿宋_GB2312" w:hAnsi="仿宋_GB2312" w:eastAsia="仿宋_GB2312"/>
          <w:sz w:val="32"/>
        </w:rPr>
        <w:t>（九）承担推进、指导、协调、监督自治州政府系统电子政务责任，负责自治州人民政府办公室办公信息系统建设、应用和管理。</w:t>
      </w:r>
    </w:p>
    <w:p>
      <w:pPr>
        <w:spacing w:line="580" w:lineRule="exact"/>
        <w:ind w:firstLine="640"/>
        <w:jc w:val="both"/>
      </w:pPr>
      <w:r>
        <w:rPr>
          <w:rFonts w:ascii="仿宋_GB2312" w:hAnsi="仿宋_GB2312" w:eastAsia="仿宋_GB2312"/>
          <w:sz w:val="32"/>
        </w:rPr>
        <w:t>（十）承担自治州人民政府和自治州人民政府领导同志交办的其他事项。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昌吉回族自治州人民政府办公室2024年度，实有人数98人，其中：在职人员45人，减少10人；离休人员1人，增加0人；退休人员52人,增加1人。</w:t>
      </w:r>
    </w:p>
    <w:p>
      <w:pPr>
        <w:spacing w:line="580" w:lineRule="exact"/>
        <w:ind w:firstLine="640"/>
        <w:jc w:val="both"/>
      </w:pPr>
      <w:r>
        <w:rPr>
          <w:rFonts w:ascii="仿宋_GB2312" w:hAnsi="仿宋_GB2312" w:eastAsia="仿宋_GB2312"/>
          <w:sz w:val="32"/>
        </w:rPr>
        <w:t>昌吉回族自治州人民政府办公室无下属预算单位，下设10个科室，分别是：综合一科、综合二科、综合三科、综合四科、综合五科、文书科、行政科、督查室、信息科、政务服务科。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2024年度收入总计1,787.23万元，</w:t>
      </w:r>
      <w:r>
        <w:rPr>
          <w:rFonts w:ascii="仿宋_GB2312" w:hAnsi="仿宋_GB2312" w:eastAsia="仿宋_GB2312"/>
          <w:b w:val="0"/>
          <w:sz w:val="32"/>
        </w:rPr>
        <w:t>其中：本年收入合计1,741.71万元，使用非财政拨款结余（含专用结余）0.00万元，年初结转和结余45.52万元。</w:t>
      </w:r>
    </w:p>
    <w:p>
      <w:pPr>
        <w:spacing w:line="580" w:lineRule="exact"/>
        <w:ind w:firstLine="640"/>
        <w:jc w:val="both"/>
      </w:pPr>
      <w:r>
        <w:rPr>
          <w:rFonts w:ascii="仿宋_GB2312" w:hAnsi="仿宋_GB2312" w:eastAsia="仿宋_GB2312"/>
          <w:b/>
          <w:sz w:val="32"/>
        </w:rPr>
        <w:t>2024年度支出总计1,787.23万元，</w:t>
      </w:r>
      <w:r>
        <w:rPr>
          <w:rFonts w:ascii="仿宋_GB2312" w:hAnsi="仿宋_GB2312" w:eastAsia="仿宋_GB2312"/>
          <w:b w:val="0"/>
          <w:sz w:val="32"/>
        </w:rPr>
        <w:t>其中：本年支出合计1,740.70万元，结余分配0.00万元，年末结转和结余46.53万元。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减少191.15万元，下降9.66%，主要原因是：1.本年在职人员减少，相关人员经费较上年减少。2.本年减少保密无纸化及督查督办系统款项项目。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本年收入1,741.71万元，</w:t>
      </w:r>
      <w:r>
        <w:rPr>
          <w:rFonts w:ascii="仿宋_GB2312" w:hAnsi="仿宋_GB2312" w:eastAsia="仿宋_GB2312"/>
          <w:b w:val="0"/>
          <w:sz w:val="32"/>
        </w:rPr>
        <w:t>其中：财政拨款收入1,693.16万元，占97.21%；上级补助收入0.00万元，占0.00%；事业收入0.00万元，占0.00%；经营收入0.00万元，占0.00%；附属单位上缴收入0.00万元，占0.00%；其他收入48.55万元，占2.79%。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本年支出1,740.70万元，</w:t>
      </w:r>
      <w:r>
        <w:rPr>
          <w:rFonts w:ascii="仿宋_GB2312" w:hAnsi="仿宋_GB2312" w:eastAsia="仿宋_GB2312"/>
          <w:b w:val="0"/>
          <w:sz w:val="32"/>
        </w:rPr>
        <w:t>其中：基本支出1,217.85万元，占69.96%；项目支出522.85万元，占30.04%；上缴上级支出0.00万元，占0.00%；经营支出0.00万元，占0.00%；对附属单位补助支出0.00万元，占0.00%。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2024年度财政拨款收入总计1,693.16万元，</w:t>
      </w:r>
      <w:r>
        <w:rPr>
          <w:rFonts w:ascii="仿宋_GB2312" w:hAnsi="仿宋_GB2312" w:eastAsia="仿宋_GB2312"/>
          <w:b w:val="0"/>
          <w:sz w:val="32"/>
        </w:rPr>
        <w:t>其中：年初财政拨款结转和结余0.00万元，本年财政拨款收入1,693.16万元。</w:t>
      </w:r>
      <w:r>
        <w:rPr>
          <w:rFonts w:ascii="仿宋_GB2312" w:hAnsi="仿宋_GB2312" w:eastAsia="仿宋_GB2312"/>
          <w:b/>
          <w:sz w:val="32"/>
        </w:rPr>
        <w:t>财政拨款支出总计1,693.16万元，</w:t>
      </w:r>
      <w:r>
        <w:rPr>
          <w:rFonts w:ascii="仿宋_GB2312" w:hAnsi="仿宋_GB2312" w:eastAsia="仿宋_GB2312"/>
          <w:b w:val="0"/>
          <w:sz w:val="32"/>
        </w:rPr>
        <w:t>其中：年末财政拨款结转和结余0.00万元，本年财政拨款支出1,693.16万元。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减少180.86万元，下降9.65%，主要原因是：1.本年在职人员减少，相关人员经费较上年减少。2.本年减少保密无纸化及督查督办系统款项项目。</w:t>
      </w:r>
      <w:r>
        <w:rPr>
          <w:rFonts w:ascii="仿宋_GB2312" w:hAnsi="仿宋_GB2312" w:eastAsia="仿宋_GB2312"/>
          <w:b/>
          <w:sz w:val="32"/>
        </w:rPr>
        <w:t>与年初预算相比，</w:t>
      </w:r>
      <w:r>
        <w:rPr>
          <w:rFonts w:ascii="仿宋_GB2312" w:hAnsi="仿宋_GB2312" w:eastAsia="仿宋_GB2312"/>
          <w:b w:val="0"/>
          <w:sz w:val="32"/>
        </w:rPr>
        <w:t>年初预算数1,753.38万元，决算数1,693.16万元，预决算差异率-3.43%，主要原因是：年中调减机关运行补助经费，导致预决算存在差异。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2024年度一般公共预算财政拨款支出1,693.16万元，</w:t>
      </w:r>
      <w:r>
        <w:rPr>
          <w:rFonts w:ascii="仿宋_GB2312" w:hAnsi="仿宋_GB2312" w:eastAsia="仿宋_GB2312"/>
          <w:b w:val="0"/>
          <w:sz w:val="32"/>
        </w:rPr>
        <w:t>占本年支出合计的97.27%。</w:t>
      </w:r>
      <w:r>
        <w:rPr>
          <w:rFonts w:ascii="仿宋_GB2312" w:hAnsi="仿宋_GB2312" w:eastAsia="仿宋_GB2312"/>
          <w:b/>
          <w:sz w:val="32"/>
        </w:rPr>
        <w:t>与上年相比，</w:t>
      </w:r>
      <w:r>
        <w:rPr>
          <w:rFonts w:ascii="仿宋_GB2312" w:hAnsi="仿宋_GB2312" w:eastAsia="仿宋_GB2312"/>
          <w:b w:val="0"/>
          <w:sz w:val="32"/>
        </w:rPr>
        <w:t>减少180.86万元，下降9.65%，主要原因是：1.本年在职人员减少，相关人员经费较上年减少。2.本年减少保密无纸化及督查督办系统款项项目。</w:t>
      </w:r>
      <w:r>
        <w:rPr>
          <w:rFonts w:ascii="仿宋_GB2312" w:hAnsi="仿宋_GB2312" w:eastAsia="仿宋_GB2312"/>
          <w:b/>
          <w:sz w:val="32"/>
        </w:rPr>
        <w:t>与年初预算相比,</w:t>
      </w:r>
      <w:r>
        <w:rPr>
          <w:rFonts w:ascii="仿宋_GB2312" w:hAnsi="仿宋_GB2312" w:eastAsia="仿宋_GB2312"/>
          <w:b w:val="0"/>
          <w:sz w:val="32"/>
        </w:rPr>
        <w:t>年初预算数1,753.38万元，决算数1,693.16万元，预决算差异率-3.43%，主要原因是：年中调减机关运行补助经费，导致预决算存在差异。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1.一般公共服务支出(类)1,348.43万元,占79.64%。</w:t>
      </w:r>
    </w:p>
    <w:p>
      <w:pPr>
        <w:spacing w:line="580" w:lineRule="exact"/>
        <w:ind w:firstLine="640"/>
        <w:jc w:val="both"/>
      </w:pPr>
      <w:r>
        <w:rPr>
          <w:rFonts w:ascii="仿宋_GB2312" w:hAnsi="仿宋_GB2312" w:eastAsia="仿宋_GB2312"/>
          <w:b w:val="0"/>
          <w:sz w:val="32"/>
        </w:rPr>
        <w:t>2.社会保障和就业支出(类)202.36万元,占11.95%。</w:t>
      </w:r>
    </w:p>
    <w:p>
      <w:pPr>
        <w:spacing w:line="580" w:lineRule="exact"/>
        <w:ind w:firstLine="640"/>
        <w:jc w:val="both"/>
      </w:pPr>
      <w:r>
        <w:rPr>
          <w:rFonts w:ascii="仿宋_GB2312" w:hAnsi="仿宋_GB2312" w:eastAsia="仿宋_GB2312"/>
          <w:b w:val="0"/>
          <w:sz w:val="32"/>
        </w:rPr>
        <w:t>3.卫生健康支出(类)50.25万元,占2.97%。</w:t>
      </w:r>
    </w:p>
    <w:p>
      <w:pPr>
        <w:spacing w:line="580" w:lineRule="exact"/>
        <w:ind w:firstLine="640"/>
        <w:jc w:val="both"/>
      </w:pPr>
      <w:r>
        <w:rPr>
          <w:rFonts w:ascii="仿宋_GB2312" w:hAnsi="仿宋_GB2312" w:eastAsia="仿宋_GB2312"/>
          <w:b w:val="0"/>
          <w:sz w:val="32"/>
        </w:rPr>
        <w:t>4.住房保障支出(类)80.22万元,占4.74%。</w:t>
      </w:r>
    </w:p>
    <w:p>
      <w:pPr>
        <w:spacing w:line="580" w:lineRule="exact"/>
        <w:ind w:firstLine="640"/>
        <w:jc w:val="both"/>
      </w:pPr>
      <w:r>
        <w:rPr>
          <w:rFonts w:ascii="仿宋_GB2312" w:hAnsi="仿宋_GB2312" w:eastAsia="仿宋_GB2312"/>
          <w:b w:val="0"/>
          <w:sz w:val="32"/>
        </w:rPr>
        <w:t>5.其他支出(类)11.90万元,占0.70%。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行政运行(项):支出决算数为881.38万元，比上年决算减少3.81万元，下降0.43%,主要原因是：本年度对个人和家庭的补助-抚恤金费用减少；本年在职人员减少，相应人员经费较上年减少。</w:t>
      </w:r>
    </w:p>
    <w:p>
      <w:pPr>
        <w:spacing w:line="580" w:lineRule="exact"/>
        <w:ind w:firstLine="640"/>
        <w:jc w:val="both"/>
      </w:pPr>
      <w:r>
        <w:rPr>
          <w:rFonts w:ascii="仿宋_GB2312" w:hAnsi="仿宋_GB2312" w:eastAsia="仿宋_GB2312"/>
          <w:b w:val="0"/>
          <w:sz w:val="32"/>
        </w:rPr>
        <w:t>2.一般公共服务支出(类)政府办公厅（室）及相关机构事务(款)一般行政管理事务(项):支出决算数为9.46万元，比上年决算增加9.46万元，增长100.00%,主要原因是：本年度增加昌吉州赴乌兹别克斯坦、哈萨克斯坦“抢订单、拓市场”经贸合作对接活动经费、拨付2023年租赁公务用车费用。</w:t>
      </w:r>
    </w:p>
    <w:p>
      <w:pPr>
        <w:spacing w:line="580" w:lineRule="exact"/>
        <w:ind w:firstLine="640"/>
        <w:jc w:val="both"/>
      </w:pPr>
      <w:r>
        <w:rPr>
          <w:rFonts w:ascii="仿宋_GB2312" w:hAnsi="仿宋_GB2312" w:eastAsia="仿宋_GB2312"/>
          <w:b w:val="0"/>
          <w:sz w:val="32"/>
        </w:rPr>
        <w:t>3.一般公共服务支出(类)政府办公厅（室）及相关机构事务(款)事业运行(项):支出决算数为0.00万元，比上年决算减少106.47万元，下降100.00%,主要原因是：本年事业人员转到昌吉回族自治州人民政府电子政务办公室，导致此科目经费减少。</w:t>
      </w:r>
    </w:p>
    <w:p>
      <w:pPr>
        <w:spacing w:line="580" w:lineRule="exact"/>
        <w:ind w:firstLine="640"/>
        <w:jc w:val="both"/>
      </w:pPr>
      <w:r>
        <w:rPr>
          <w:rFonts w:ascii="仿宋_GB2312" w:hAnsi="仿宋_GB2312" w:eastAsia="仿宋_GB2312"/>
          <w:b w:val="0"/>
          <w:sz w:val="32"/>
        </w:rPr>
        <w:t>4.一般公共服务支出(类)政府办公厅（室）及相关机构事务(款)其他政府办公厅（室）及相关机构事务支出(项):支出决算数为457.59万元，比上年决算减少0.32万元，下降0.07%,主要原因是：本年机关运行补助经费较上年减少。</w:t>
      </w:r>
    </w:p>
    <w:p>
      <w:pPr>
        <w:spacing w:line="580" w:lineRule="exact"/>
        <w:ind w:firstLine="640"/>
        <w:jc w:val="both"/>
      </w:pPr>
      <w:r>
        <w:rPr>
          <w:rFonts w:ascii="仿宋_GB2312" w:hAnsi="仿宋_GB2312" w:eastAsia="仿宋_GB2312"/>
          <w:b w:val="0"/>
          <w:sz w:val="32"/>
        </w:rPr>
        <w:t>5.一般公共服务支出(类)统战事务(款)宗教事务(项):支出决算数为0.00万元，比上年决算减少1.26万元，下降100.00%,主要原因是：本年减少寺管员补助经费。</w:t>
      </w:r>
    </w:p>
    <w:p>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6.社会保障和就业支出(类)行政事业单位养老支出(款)行政单位离退休(项):支出决算数为54.32万元，比上年决算增加12.17万元，增长28.87%,主要原因是：本年退休人员增加，退休费支出增加。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84.70万元，比上年决算减少29.48万元，下降25.82%,主要原因是：本年在职人员减少，单位基本养老保险缴费较上年减少。</w:t>
      </w:r>
    </w:p>
    <w:p>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63.33万元，比上年决算减少35.35万元，下降35.82%,主要原因是：本年新增退休、辞职调出人员较上年减少，职业年金缴费较上年减少。</w:t>
      </w:r>
    </w:p>
    <w:p>
      <w:pPr>
        <w:spacing w:line="580" w:lineRule="exact"/>
        <w:ind w:firstLine="640"/>
        <w:jc w:val="both"/>
      </w:pPr>
      <w:r>
        <w:rPr>
          <w:rFonts w:ascii="仿宋_GB2312" w:hAnsi="仿宋_GB2312" w:eastAsia="仿宋_GB2312"/>
          <w:b w:val="0"/>
          <w:sz w:val="32"/>
        </w:rPr>
        <w:t>9.卫生健康支出(类)行政事业单位医疗(款)行政单位医疗(项):支出决算数为46.85万元，比上年决算减少1.74万元，下降3.58%,主要原因是：本年在职人员减少，行政单位医疗较上年减少。</w:t>
      </w:r>
    </w:p>
    <w:p>
      <w:pPr>
        <w:spacing w:line="580" w:lineRule="exact"/>
        <w:ind w:firstLine="640"/>
        <w:jc w:val="both"/>
      </w:pPr>
      <w:r>
        <w:rPr>
          <w:rFonts w:ascii="仿宋_GB2312" w:hAnsi="仿宋_GB2312" w:eastAsia="仿宋_GB2312"/>
          <w:b w:val="0"/>
          <w:sz w:val="32"/>
        </w:rPr>
        <w:t>10.卫生健康支出(类)行政事业单位医疗(款)事业单位医疗(项):支出决算数为0.00万元，比上年决算减少8.50万元，下降100.00%,主要原因是：本年事业人员转到昌吉回族自治州人民政府电子政务办公室，减少事业单位医疗经费。</w:t>
      </w:r>
    </w:p>
    <w:p>
      <w:pPr>
        <w:spacing w:line="580" w:lineRule="exact"/>
        <w:ind w:firstLine="640"/>
        <w:jc w:val="both"/>
      </w:pPr>
      <w:r>
        <w:rPr>
          <w:rFonts w:ascii="仿宋_GB2312" w:hAnsi="仿宋_GB2312" w:eastAsia="仿宋_GB2312"/>
          <w:b w:val="0"/>
          <w:sz w:val="32"/>
        </w:rPr>
        <w:t>11.卫生健康支出(类)行政事业单位医疗(款)公务员医疗补助(项):支出决算数为3.15万元，比上年决算增加1.29万元，增长69.35%,主要原因是：本年在职人员工资基数调增，医疗缴费基数上涨，相应支出增加。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12.卫生健康支出(类)行政事业单位医疗(款)其他行政事业单位医疗支出(项):支出决算数为0.26万元，比上年决算减少0.38万元，下降59.38%,主要原因是：本年在职人员减少，其他行政事业单位医疗支出较上年减少。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13.住房保障支出(类)住房改革支出(款)住房公积金(项):支出决算数为80.22万元，比上年决算减少9.60万元，下降10.69%,主要原因是：本年在职人员减少，住房公积金缴费较上年减少。</w:t>
      </w:r>
    </w:p>
    <w:p>
      <w:pPr>
        <w:spacing w:line="580" w:lineRule="exact"/>
        <w:ind w:firstLine="640"/>
        <w:jc w:val="both"/>
      </w:pPr>
      <w:r>
        <w:rPr>
          <w:rFonts w:ascii="仿宋_GB2312" w:hAnsi="仿宋_GB2312" w:eastAsia="仿宋_GB2312"/>
          <w:b w:val="0"/>
          <w:sz w:val="32"/>
        </w:rPr>
        <w:t>14.其他支出(类)其他支出(款)其他支出(项):支出决算数为11.90万元，比上年决算减少6.88万元，下降36.63%,主要原因是：本年度驻村工作自治区补助经费（为民办实事经费）较上年减少。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2024年度一般公共预算财政拨款基本支出1,217.85万元，其中：</w:t>
      </w:r>
      <w:r>
        <w:rPr>
          <w:rFonts w:ascii="仿宋_GB2312" w:hAnsi="仿宋_GB2312" w:eastAsia="仿宋_GB2312"/>
          <w:b/>
          <w:sz w:val="32"/>
        </w:rPr>
        <w:t>人员经费1,055.92万元，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离休费、退休费、抚恤金、生活补助、奖励金。</w:t>
      </w:r>
    </w:p>
    <w:p>
      <w:pPr>
        <w:spacing w:line="580" w:lineRule="exact"/>
        <w:ind w:firstLine="640"/>
        <w:jc w:val="both"/>
      </w:pPr>
      <w:r>
        <w:rPr>
          <w:rFonts w:ascii="仿宋_GB2312" w:hAnsi="仿宋_GB2312" w:eastAsia="仿宋_GB2312"/>
          <w:b/>
          <w:sz w:val="32"/>
        </w:rPr>
        <w:t>公用经费161.94万元，</w:t>
      </w:r>
      <w:r>
        <w:rPr>
          <w:rFonts w:ascii="仿宋_GB2312" w:hAnsi="仿宋_GB2312" w:eastAsia="仿宋_GB2312"/>
          <w:b w:val="0"/>
          <w:sz w:val="32"/>
        </w:rPr>
        <w:t>包括：办公费、印刷费、手续费、邮电费、取暖费、差旅费、维修（护）费、培训费、工会经费、福利费、公务用车运行维护费、其他交通费用、其他商品和服务支出。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2024年度财政拨款“三公”经费支出77.21万元，</w:t>
      </w:r>
      <w:r>
        <w:rPr>
          <w:rFonts w:ascii="仿宋_GB2312" w:hAnsi="仿宋_GB2312" w:eastAsia="仿宋_GB2312"/>
          <w:b w:val="0"/>
          <w:sz w:val="32"/>
        </w:rPr>
        <w:t>比上年减少30.30万元，下降28.18%，主要原因是：本年无新购置车辆，减少公务用车运行维护费。</w:t>
      </w:r>
      <w:r>
        <w:rPr>
          <w:rFonts w:ascii="仿宋_GB2312" w:hAnsi="仿宋_GB2312" w:eastAsia="仿宋_GB2312"/>
          <w:b w:val="0"/>
          <w:sz w:val="32"/>
        </w:rPr>
        <w:t>其中：因公出国（境）费支出2.46万元，占3.19%，比上年增加0.57万元，增长30.16%，主要原因是：本年因赴乌兹别克斯坦、哈萨克斯坦“抢订单、拓市场”经贸合作对接活动，增加住宿费、伙食费、公杂费。</w:t>
      </w:r>
      <w:r>
        <w:rPr>
          <w:rFonts w:ascii="仿宋_GB2312" w:hAnsi="仿宋_GB2312" w:eastAsia="仿宋_GB2312"/>
          <w:b w:val="0"/>
          <w:sz w:val="32"/>
        </w:rPr>
        <w:t>公务用车购置及运行维护费支出74.75万元，占96.81%，比上年减少30.87万元，下降29.23%，主要原因是：本年无新购置车辆，减少公务用车运行维护费。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2.46万元，开支内容包括因赴乌兹别克斯坦、哈萨克斯坦“抢订单、拓市场”经贸合作对接活动，产生住宿费、伙食费、公杂费。单位全年安排的因公出国（境）团组1个，因公出国（境）1人次。</w:t>
      </w:r>
    </w:p>
    <w:p>
      <w:pPr>
        <w:spacing w:line="580" w:lineRule="exact"/>
        <w:ind w:firstLine="640"/>
        <w:jc w:val="both"/>
      </w:pPr>
      <w:r>
        <w:rPr>
          <w:rFonts w:ascii="仿宋_GB2312" w:hAnsi="仿宋_GB2312" w:eastAsia="仿宋_GB2312"/>
          <w:b w:val="0"/>
          <w:sz w:val="32"/>
        </w:rPr>
        <w:t>公务用车购置及运行维护费74.75万元，其中：公务用车购置费0.00万元，公务用车运行维护费74.75万元。公务用车运行维护费开支内容包括车辆加油费、维修维护费、车辆保险费。公务用车购置数0辆，公务用车保有量17辆。国有资产占用情况中固定资产车辆17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77.21万元，决算数77.21万元，预决算差异率0.00%，主要原因是：严格按照预算执行，预决算无差异。其中：因公出国（境）费全年预算数2.46万元，决算数2.46万元，预决算差异率0.00%，主要原因是：严格按照预算执行，预决算无差异。公务用车购置费全年预算数0.00万元，决算数0.00万元，预决算差异率0.00%，主要原因是：本单位无公务用车购置费。公务用车运行维护费全年预算数74.75万元，决算数74.75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民政府办公室（行政单位和参照公务员法管理事业单位）机关运行经费支出161.94万元，比上年减少42.73万元，下降20.88%，主要原因是：本年度减少保密无纸化及督查督办系统款项，导致机关运行经费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2024年度政府采购支出总额114.53万元，其中：政府采购货物支出73.11万元、政府采购工程支出0.00万元、政府采购服务支出41.42万元。</w:t>
      </w:r>
    </w:p>
    <w:p>
      <w:pPr>
        <w:spacing w:line="580" w:lineRule="exact"/>
        <w:ind w:firstLine="640"/>
        <w:jc w:val="both"/>
      </w:pPr>
      <w:r>
        <w:rPr>
          <w:rFonts w:ascii="仿宋_GB2312" w:hAnsi="仿宋_GB2312" w:eastAsia="仿宋_GB2312"/>
          <w:b w:val="0"/>
          <w:sz w:val="32"/>
        </w:rPr>
        <w:t>授予中小企业合同金额114.53万元，占政府采购支出总额的100.00%，其中：授予小微企业合同金额114.53万元，占政府采购支出总额的100.00%。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19,646.98平方米，价值2,719.44万元。车辆17辆，价值426.54万元，其中：副部（省）级及以上领导用车0辆、主要负责人用车0辆、机要通信用车0辆、应急保障用车0辆、执法执勤用车0辆、特种专业技术用车0辆、离退休干部服务用车0辆、其他用车17辆，其他用车主要是：一般公务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1,787.23万元，实际执行总额1,740.70万元；预算绩效评价项目5个，全年预算数504.89万元，全年执行数502.05万元。预算绩效管理取得的成效：我单位2024年度部门整体支出绩效自评综合得分99.74分，评价结果为“优”。我单位2024年部门履职效果良好，主要体现在：（一）强化理论武装。全年累计开展党组理论学习中心组学习17次（其中研讨交流11次），党（总）支部集体学习38次。自觉用习近平新时代中国特色社会主义思想武装头脑、指导实践、推动工作。补充开展党纪学题教育情况？切实把对党忠诚体现在岗位上，贯穿于办公室政务服务、办文办会、信息督查各方面、全过程，以实际行动坚定拥护“两个确立”，坚决做到“两个维护”。（二）抓好巡视巡察整改“后半篇”文章。认真落实巡视巡察整改责任，做好经济高质量发展专项组承担的自治区巡视反馈27项整改任务的落实，办公室负责人每月召开问题整改调度会，督促压实责任，严格整改。（三）重大决策部署推动有力。聚焦州党委70项重点任务、75项重点项目，班子成员充分发挥参谋辅政作用，坚持“大抓产业、抓大项目”，督促“双百工程”落实，小麦、棉花百亩单产创自治区新高；落实自治区畜牧业九条措施，组织研究州本级配套落实措施，稳定畜牧业发展。（四）以文辅政能力显著提升。今年以来，共起草制发各类公文900余件，高质高效完成了政府工作报告、主要领导在党委十二届九次全会上关于经济工作的专题讲话、政府全体会暨廉政工作会议讲话等各类文稿300余篇、超百万字。（五）办文办会更加优质高效。加强会议活动调研统筹，协调保障国家和自治区级以上考察调研134批次、各类会议活动863场次，全面完成了建州70周年庆祝大会主会场氛围营造、会务服务、调研保障等各项任务，圆满组织了昌吉州2024年旅游高质量发展暨江布拉克机场通航签约大会、2024舌尖上的丝绸之路美食节暨昌吉州美食文化旅游节、2024中国新疆（昌吉）种子展示交易会暨种业发展论坛、“链上昌吉·融入丝路”主题招商等大型活动，切实做到反应迅速、协调有力，展示了昌吉州良好风貌。发现的问题及原因：一是绩效管理理念尚未牢固树立，绩效管理专业人员匮乏。单位对全面实施绩效管理认识不够，绩效水平不高，如我单位项目绩效资金为机关运行补助经费600万元，主要用于保障州政府办公室各科室正常运转，但各科室普遍认为该工作为财务工作，对接工作时无法做到及时沟通积极配合，以财务人员牵头开展绩效管理，工作推动机制不全，业务人员业务能力和素质还有待进一步提升。二是对档案工作重视程度不高，意识淡薄。我单位人员部分人员对绩效档案管理工作重视程度不够，工作期间不注意留痕，需要提供绩效相关档案材料是无法提供，不注重关键时间节点材料的鉴定归档，造成绩效管理工作档案缺失。。下一步改进措施：一是重视预算绩效工作，加大宣传力度，强化绩效理念，扩大绩效管理业务的培训范围，不断提升业务人员整体素质，从而提升预算精细化管理水平。加强培训，提高绩效评价工作人员的业务理论知识和实操能力。采取多种培训形式对业务科室人员、财务人员进行集中培训，进一步树牢绩效观念，提升本单位的绩效管理水平，为预算绩效管理顺利开展提供有力保障。二是扎实推进档案规范化建设，提升档案管理水平。进一步完善项目评价资料。项目启动时同步做好档案的归纳与整理，及时整理、收集、汇总，健全档案资料。三是加强领导的高度重视，精心组织，健全项目绩效领导小组并对绩效评价工作进行指导、监督，确保项目绩效评价反映项目完成的真实情况。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1,740.74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1,739.69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1,693.16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1,747.74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1,787.23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1,740.70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目标1：做好自治州人民政府领导批示的文件、组织的会务、开展的调研、安排的督查检查、信息反馈、办理政府领导批示件、协助人大和政协代表提案，不断改善民生、整治、经济等各项工作高质量发展。                                                 目标2：保障单位正常运转、劳务派遣人员工资和社保缴费正常。</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1787.23万元，全年执行数为1740.7万元，总预算执行率为97.40%。2024年我单位主要完成以下工作：1.政府工作报告翻译语种2种；2.档案电子化扫描页数15万页；3、保障视频会议的会议室3个；4、保障政府事务工作人员数量16人；5、档案电子化扫描合格率达100%；6、制发文件合格率达100%；7、视频设备验收合格率达100%。通过该项目的实施，提升了履行职能能力，促进了政府工作有序进行,不断改善民生、整治、经济等各项工作高质量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政府工作报告翻译语种（种）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政府工作报告翻译、昌吉州政府办公室文书工作计划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档案电子化扫描页数（万页）</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=15万页</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昌吉州政府办公室文书工作计划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=15万页</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保障视频会议的会议室个数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视频会议室1、视频会议室2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保障政府事务工作人员数量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&gt;=16人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保障政府事务工作人员数量、保障16名临聘人员经费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档案电子化扫描合格率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昌吉州政府办公室文书工作计划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制发文件合格率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昌吉州政府办公室文书工作计划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视频设备验收合格率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昌吉州政府办公室文书工作计划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州政府办公室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479.78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479.75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479.78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479.75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切实做好州政府日常事务的服务保障工作，公文的签发和流转工作、督查国家政策的落实情况、会议保障工作、州政府网站运维工作等，为确保各项工作的质量，做好州政府行政事务运转的资金保障工作。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政府工作报告翻译语种2种、督查频次3次、保障政府事务工作人员数量14人、保障视频会议的会议室个数4个、购置办公耗材12次、制发文件合格率100%、视频会议系统设备验收合格率100%、政府公众号全年被自治区通报1次、专项工作督查通报率100%，支付机关运转补助经费479.75万元；通过该项目的实施，提升了履行职能能力，促进了政府工作有序进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政府工作报告翻译语种（种）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督查频次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保障政府事务工作人员数量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保障视频会议的会议室个数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购置办公耗材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制发文件合格率（%）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视频会议系统设备验收合格率（%）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政府公众号全年被自治区通报次数（次）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项目实施过程中，确保各项工作完成，厉行节约，发挥资金使用效率。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督查调研费（万元）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171.81万元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保障政府工作运转费用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&lt;=309.78万元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=309.75万元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该项目实施较好，政府公众号全年被自治区通报次数低于预期。</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专项工作督查通报率（%）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主要用于做好对口支援省市的援疆干部人才服务工作，保障援疆干部在单位正常运转,服务援疆干部1人，为援疆干部购置办公耗材，援疆业务工作完成率超过90%，各项工作完成及时率大于90%，保障援疆各项业务有序开展经费5万元，预算成本控制率90%，提高援疆干部幸福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服务援疆干部人次1人、购置办公耗材1次、制发文件合格率100%、援疆业务工作完成率100%、各项工作完成及时率100%、保障援疆各项业务有序开展经费0万元、保障援疆干部办公、差旅费等费用1.45万元、提高援疆干部幸福感；通过该项目的实施，提升了援疆工作的重要性，促进了交往交流交融中的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服务援疆干部人次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购置办公耗材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制发文件合格率（%）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该项目实施较好，实施过程中制发文件合格率达100%。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援疆业务工作完成率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该项目实施较好，实施过程中援疆业务工作完成率达100%。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该项目实施较好，实施过程中各项工作完成及时率达100%。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保障援疆各项业务有序开展经费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项目实施过程中，确保各项工作完成，厉行节约，发挥资金使用效率。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保障援疆干部办公、差旅费等费用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项目实施过程中，确保各项工作完成，厉行节约，发挥资金使用效率。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提高援疆干部幸福感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78.07分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文化宣传项目（州庆大会会场场外氛围营造）</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自治州成立70周年庆祝大会工作安排，大会会务工作由政府办公室承担，保障州庆大会圆满完成。负责承担昌吉州成立70周年庆祝大会会务保障，对会场内外进行氛围营造及主会场布置。保障州庆大会人员数量约20人。会务费不超过16.20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会务场次1次、保障州庆大会人员数量20人、保障州庆会务音视频次数1次、会议召开成功率100%、会议完成时间2024年、保障会务经费10万元、州庆氛围营造费用6.20万元、保障大会顺利召开、主管科室满意度达100%；通过该项目的实施，提升了文化浸润惠民实事，展示70年来昌吉州经济发展；促进了民族团结、社会稳定和各民族广泛交往、全面交流、深度交融的良好社会局面。</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保障会务场次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保障州庆大会人员数量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保障州庆会务音视频次数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会议召开成功率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保障会务经费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州庆氛围营造费用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保障大会顺利召开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该项目在实施中完成较好，主管科室对该项目实施比较满意。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昌吉州赴乌兹别克斯坦、哈萨克斯坦“抢订单、拓市场”经贸合作对接活动经费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圆满完成赴乌兹别克斯坦、哈萨克斯坦经贸合作对接活动。全面提升我州区位、产业和资源优势，为企业搭建“走出去”拓展中亚市场的平台。</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举办昌吉州宣传推介会场数2场、参加考察交流活动场数1场、组织参展企业数30家、活动举办成功率100%、项目完成时间5月23日前、支付经费2.46万元，参展企业满意度达100%；通过该项目的实施，提升我州区位、产业和资源优势，促进企业搭建“走出去”拓展中亚市场的平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举办昌吉州宣传推介会场数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参加考察交流活动场数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组织参展企业数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该项目实施较好，企业参与度较高，组织参展企业数超预期。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活动举办成功率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加大产品展示展销和宣传推介力度，帮助企业开拓中亚市场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开拓市场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参展企业满意度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该项目设施较好，参展企业对项目实施较满意。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自治州五个好党支部示范点补助经费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按期完成征订工作，做到高标准、严要求，全面学、系统学，贯通学、深入学、跟进学，使办公室党员干部自觉用以武装头脑、指导初中、推动工作、发挥示范带动作用。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党报征订类别8类、党报征订份数108份、征订党报人数1人、党报党刊受众覆盖面达100%、项目完成时间2024年12月10日、党报征订费用1.45万元，通过该项目的实施，提升了党员的综合素质，促进了党员人才队伍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党报征订类别</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党报征订份数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征订党报人数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党报党刊受众覆盖面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党报征订费用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开展党员教育，引导党员坚定共产主义远大理想，增强党性、提高素质、履行义务，发挥模范作用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