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C43C6">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5D07362B">
      <w:pPr>
        <w:spacing w:line="540" w:lineRule="exact"/>
        <w:jc w:val="center"/>
        <w:rPr>
          <w:rFonts w:ascii="华文中宋" w:hAnsi="华文中宋" w:eastAsia="华文中宋" w:cs="宋体"/>
          <w:b/>
          <w:kern w:val="0"/>
          <w:sz w:val="52"/>
          <w:szCs w:val="52"/>
        </w:rPr>
      </w:pPr>
    </w:p>
    <w:p w14:paraId="47CA7D09">
      <w:pPr>
        <w:spacing w:line="540" w:lineRule="exact"/>
        <w:jc w:val="center"/>
        <w:rPr>
          <w:rFonts w:ascii="华文中宋" w:hAnsi="华文中宋" w:eastAsia="华文中宋" w:cs="宋体"/>
          <w:b/>
          <w:kern w:val="0"/>
          <w:sz w:val="52"/>
          <w:szCs w:val="52"/>
        </w:rPr>
      </w:pPr>
    </w:p>
    <w:p w14:paraId="76720819">
      <w:pPr>
        <w:spacing w:line="540" w:lineRule="exact"/>
        <w:jc w:val="center"/>
        <w:rPr>
          <w:rFonts w:ascii="华文中宋" w:hAnsi="华文中宋" w:eastAsia="华文中宋" w:cs="宋体"/>
          <w:b/>
          <w:kern w:val="0"/>
          <w:sz w:val="52"/>
          <w:szCs w:val="52"/>
        </w:rPr>
      </w:pPr>
    </w:p>
    <w:p w14:paraId="2DEFBF6B">
      <w:pPr>
        <w:spacing w:line="540" w:lineRule="exact"/>
        <w:jc w:val="center"/>
        <w:rPr>
          <w:rFonts w:ascii="华文中宋" w:hAnsi="华文中宋" w:eastAsia="华文中宋" w:cs="宋体"/>
          <w:b/>
          <w:kern w:val="0"/>
          <w:sz w:val="52"/>
          <w:szCs w:val="52"/>
        </w:rPr>
      </w:pPr>
    </w:p>
    <w:p w14:paraId="05F671E9">
      <w:pPr>
        <w:spacing w:line="540" w:lineRule="exact"/>
        <w:jc w:val="center"/>
        <w:rPr>
          <w:rFonts w:ascii="华文中宋" w:hAnsi="华文中宋" w:eastAsia="华文中宋" w:cs="宋体"/>
          <w:b/>
          <w:kern w:val="0"/>
          <w:sz w:val="52"/>
          <w:szCs w:val="52"/>
        </w:rPr>
      </w:pPr>
    </w:p>
    <w:p w14:paraId="3CC969C7">
      <w:pPr>
        <w:spacing w:line="540" w:lineRule="exact"/>
        <w:jc w:val="center"/>
        <w:rPr>
          <w:rFonts w:ascii="华文中宋" w:hAnsi="华文中宋" w:eastAsia="华文中宋" w:cs="宋体"/>
          <w:b/>
          <w:kern w:val="0"/>
          <w:sz w:val="52"/>
          <w:szCs w:val="52"/>
        </w:rPr>
      </w:pPr>
    </w:p>
    <w:p w14:paraId="3885CE9B">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66350B70">
      <w:pPr>
        <w:spacing w:line="540" w:lineRule="exact"/>
        <w:jc w:val="center"/>
        <w:rPr>
          <w:rFonts w:ascii="华文中宋" w:hAnsi="华文中宋" w:eastAsia="华文中宋" w:cs="宋体"/>
          <w:b/>
          <w:kern w:val="0"/>
          <w:sz w:val="52"/>
          <w:szCs w:val="52"/>
        </w:rPr>
      </w:pPr>
    </w:p>
    <w:p w14:paraId="03DCF9AC">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14:paraId="337EF3B1">
      <w:pPr>
        <w:spacing w:line="540" w:lineRule="exact"/>
        <w:jc w:val="center"/>
        <w:rPr>
          <w:rFonts w:hAnsi="宋体" w:eastAsia="仿宋_GB2312" w:cs="宋体"/>
          <w:kern w:val="0"/>
          <w:sz w:val="30"/>
          <w:szCs w:val="30"/>
        </w:rPr>
      </w:pPr>
    </w:p>
    <w:p w14:paraId="69DBE8F0">
      <w:pPr>
        <w:spacing w:line="540" w:lineRule="exact"/>
        <w:jc w:val="center"/>
        <w:rPr>
          <w:rFonts w:hAnsi="宋体" w:eastAsia="仿宋_GB2312" w:cs="宋体"/>
          <w:kern w:val="0"/>
          <w:sz w:val="30"/>
          <w:szCs w:val="30"/>
        </w:rPr>
      </w:pPr>
    </w:p>
    <w:p w14:paraId="4DE6BA7F">
      <w:pPr>
        <w:spacing w:line="540" w:lineRule="exact"/>
        <w:jc w:val="center"/>
        <w:rPr>
          <w:rFonts w:hAnsi="宋体" w:eastAsia="仿宋_GB2312" w:cs="宋体"/>
          <w:kern w:val="0"/>
          <w:sz w:val="30"/>
          <w:szCs w:val="30"/>
        </w:rPr>
      </w:pPr>
    </w:p>
    <w:p w14:paraId="050A51A7">
      <w:pPr>
        <w:spacing w:line="540" w:lineRule="exact"/>
        <w:jc w:val="center"/>
        <w:rPr>
          <w:rFonts w:hAnsi="宋体" w:eastAsia="仿宋_GB2312" w:cs="宋体"/>
          <w:kern w:val="0"/>
          <w:sz w:val="30"/>
          <w:szCs w:val="30"/>
        </w:rPr>
      </w:pPr>
    </w:p>
    <w:p w14:paraId="3869917F">
      <w:pPr>
        <w:spacing w:line="540" w:lineRule="exact"/>
        <w:jc w:val="center"/>
        <w:rPr>
          <w:rFonts w:hAnsi="宋体" w:eastAsia="仿宋_GB2312" w:cs="宋体"/>
          <w:kern w:val="0"/>
          <w:sz w:val="30"/>
          <w:szCs w:val="30"/>
        </w:rPr>
      </w:pPr>
    </w:p>
    <w:p w14:paraId="1A0C0E53">
      <w:pPr>
        <w:spacing w:line="540" w:lineRule="exact"/>
        <w:jc w:val="center"/>
        <w:rPr>
          <w:rFonts w:hAnsi="宋体" w:eastAsia="仿宋_GB2312" w:cs="宋体"/>
          <w:kern w:val="0"/>
          <w:sz w:val="30"/>
          <w:szCs w:val="30"/>
        </w:rPr>
      </w:pPr>
    </w:p>
    <w:p w14:paraId="260BC2B7">
      <w:pPr>
        <w:spacing w:line="540" w:lineRule="exact"/>
        <w:rPr>
          <w:rFonts w:hAnsi="宋体" w:eastAsia="仿宋_GB2312" w:cs="宋体"/>
          <w:kern w:val="0"/>
          <w:sz w:val="30"/>
          <w:szCs w:val="30"/>
        </w:rPr>
      </w:pPr>
    </w:p>
    <w:p w14:paraId="59509668">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330E4551">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追加自主择业军转干部地方配套经费</w:t>
      </w:r>
    </w:p>
    <w:p w14:paraId="5658D5E8">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昌吉回族自治州退役军人事务局</w:t>
      </w:r>
    </w:p>
    <w:p w14:paraId="431DAA69">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昌吉回族自治州退役军人事务局</w:t>
      </w:r>
    </w:p>
    <w:p w14:paraId="160E46CB">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章程</w:t>
      </w:r>
    </w:p>
    <w:p w14:paraId="4E0FACA0">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2024年03月15日</w:t>
      </w:r>
    </w:p>
    <w:p w14:paraId="161311A3">
      <w:pPr>
        <w:spacing w:line="700" w:lineRule="exact"/>
        <w:ind w:firstLine="708" w:firstLineChars="236"/>
        <w:jc w:val="left"/>
        <w:rPr>
          <w:rFonts w:hAnsi="宋体" w:eastAsia="仿宋_GB2312" w:cs="宋体"/>
          <w:kern w:val="0"/>
          <w:sz w:val="30"/>
          <w:szCs w:val="30"/>
        </w:rPr>
      </w:pPr>
    </w:p>
    <w:p w14:paraId="6C6D0894">
      <w:pPr>
        <w:spacing w:line="540" w:lineRule="exact"/>
        <w:rPr>
          <w:rStyle w:val="18"/>
          <w:rFonts w:ascii="黑体" w:hAnsi="黑体" w:eastAsia="黑体"/>
          <w:b w:val="0"/>
          <w:spacing w:val="-4"/>
          <w:sz w:val="32"/>
          <w:szCs w:val="32"/>
        </w:rPr>
      </w:pPr>
    </w:p>
    <w:p w14:paraId="74D2CA5F">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14:paraId="12C4F712">
      <w:pPr>
        <w:spacing w:line="540" w:lineRule="exact"/>
        <w:ind w:firstLine="567"/>
        <w:rPr>
          <w:rStyle w:val="18"/>
          <w:rFonts w:hint="default" w:ascii="楷体" w:hAnsi="楷体" w:eastAsia="楷体"/>
          <w:spacing w:val="-4"/>
          <w:sz w:val="32"/>
          <w:szCs w:val="32"/>
          <w:lang w:val="en-US" w:eastAsia="zh-CN"/>
        </w:rPr>
      </w:pPr>
      <w:r>
        <w:rPr>
          <w:rStyle w:val="18"/>
          <w:rFonts w:hint="eastAsia" w:ascii="楷体" w:hAnsi="楷体" w:eastAsia="楷体"/>
          <w:spacing w:val="-4"/>
          <w:sz w:val="32"/>
          <w:szCs w:val="32"/>
        </w:rPr>
        <w:t>（一）项目概况</w:t>
      </w:r>
      <w:r>
        <w:rPr>
          <w:rStyle w:val="18"/>
          <w:rFonts w:hint="eastAsia" w:ascii="楷体" w:hAnsi="楷体" w:eastAsia="楷体"/>
          <w:spacing w:val="-4"/>
          <w:sz w:val="32"/>
          <w:szCs w:val="32"/>
          <w:lang w:eastAsia="zh-CN"/>
        </w:rPr>
        <w:t>。</w:t>
      </w:r>
    </w:p>
    <w:p w14:paraId="70780C39">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退役军人保障法》第九条：退役军人保障工作所需经费由中央和地方共同承担。第五十条：退役军人依法参加当地政府的养老、医疗、工伤、失业等社会保险，并享受相应待遇。《军队转业干部安置暂行办法》第五十九条：到地方后，未被党和国家机关、团体、企业事业单位录用聘用期间的住房补贴和医疗保障所需经费，由安置地政府解决。《关于自主择业的军队转业干部安置管理若干问题的意见》第四部分参加基本医疗保险所需缴纳的单位缴费部分和公务员医疗补助所需经费由安置地政府解决。 《关于印发&lt;新疆维吾尔自治区贯彻关于自主择业的军队转业干部安置管理若干问题的意见的实施意见&gt;的通知》(新转联〔2001〕6号)：自主择业军转干部医疗保障属单位缴费和按国家公务员补助的部分及冬季取暖费由同级财政纳入当年财政预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2.主要内容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贯彻落实党中央关于退役军人的方针政策和区州党委对退役军人工作要求，加强党对退役军人工作的集中统一领导，做好自主择业军转干部服务管理工作；做好自主择业军转干部信息化建设、走访慰问、档案管理、就业宣传等管理服务工作；为106名自主择业军转干部缴纳职工基本医疗保险、缴纳大额医疗、发放取暖费、缴纳公务员医疗补助共184.80万元。具有重要的社会意义和经济效益，有助于保障他们的基本生活、提高生活质量，促进社会和谐稳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实施主体：昌吉回族自治州退役军人事务局。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实施时间：本项目实施周期为2023年1月-2023年12月。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昌吉州直管理106名自主择业军转干部，建立基本医疗保险制度的地区，自主择业军转干部未被党和国家机关、人民团体、企业事业单位录用聘用期间，按照安置地政府的有关规定，统一参加安置地的基本医疗保险，并享受公务员医疗补助待遇。参加基本医疗保险所需缴纳的单位缴费部分和公务员医疗补助，由安置地军队转业干部安置工作部门向当地统筹地区社会保险经办机构缴纳，所需经费由安置地政府解决，自主择业享受公务员医保待遇人员名单进行保密管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本项目于2022年1月开始实施，截止2023年12月已全部完成，通过本项目的实施，通过本项目的实施，退役军人满意度提升，能力得到提升，退役军人获得感、幸福感逐年提升。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（1）主要职能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昌吉州退役军人事务局是 2018 年 11 月 29 日成立的政府工作部门。其主要职责是负责退役军人思想政治、服务管理、移交安置、教育培训、就业创业、优待抚恤、褒扬纪念、双拥共建等退役军人事务领域服务性、保障性、事务性工作，承担自治州党委退役军人事务工作领导小组办公室和自治州双拥工作领导小组办公室工作职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（2）机构设置情况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2023年自主择业军转干部地方配套经费的实施主体为昌吉回族自治州退役军人事务局。该单位纳入2023年部门决算编制范围的有3个科室，分别是：办公室、拥军优抚科、退役安置科；下属一个事业单位：昌吉州军队离退休干部休养所；现有在职干部14人，其中县级干部3人，科级干部8人，科级以下干部3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（1）项目资金安排落实、总投入等情况分析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本项目预算安排总额为184.80万元，资金来源为本级部门预算，其中：财政资金184.80万元，其他资金00.00万元，2023年实际收到预算资金184.80万元，预算资金到位率为100.00%。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（2）项目资金实际使用情况分析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截至2023年12月31日，本项目实际支付资金183.56万元，预算执行率99.33%，本项目资金主要用于为106名自主择业军转干部缴纳基本医疗保险183.56万元。</w:t>
      </w:r>
    </w:p>
    <w:p w14:paraId="3AD32897">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14:paraId="02156808">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计划为106名自主择业军转干部缴纳缴纳职工基本医疗保险、缴纳大额医疗、发放取暖费、缴纳公务员医疗，彻落实党中央关于退役军人的方针政策和区州党委对退役军人工作要求，加强党对退役军人工作的集中统一领导，做好自主择业军转干部服务管理工作。做好自主择业军转干部信息化建设、走访慰问、档案管理、就业宣传等管理服务工作。使退役军人能力得到提升，促进社会和谐、无信访事件，增加了退役军人获得感、荣誉感。</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（1）项目产出指标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①数量指标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“缴纳职工基本医疗保险人数（人数）”指标，预期指标值为“大于等于106人”；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“缴纳大额医疗人数（人数）”指标，预期指标值为“大于等于106人”；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“发放取暖费（人数）”指标，预期指标值为“大于等于106人”；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“缴纳公务员医疗补助人数（人数）”指标，预期指标值为“大于等于106人”；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②质量指标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“经费完成率（%）”指标，预期指标值为“大于等于98.00%”；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③时效指标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“大病医疗保险金”指标，预期指标值为“小于等于16000元/月”；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“基本医疗保险费”指标，预期指标值为“小于等于16000元/月”；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“公务员医疗补助”指标，预期指标值为“等于5元/月；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③生态环境成本指标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“服务退役军人能力得到提升，促进社会和谐、无信访事件”指标，预期指标值为“提高”；</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“退役军人获得感、荣誉感”指标，预期指标值为“提升”；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“退役军人满意度”指标，预期指标值为“大于等于95.00%”。</w:t>
      </w:r>
    </w:p>
    <w:p w14:paraId="45176506">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0ECE5524">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0705EB9D">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绩效评价，促进本单位总结经验、发现问题、改进工作，旨在评价本项目前期审批、实施过程及实施效果，促进预算管理不断完善，加快绩效目标的实现，保证财政资金有效、合理使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此次我单位根据《财政支出绩效评价管理暂行办法》（财预〔2020〕10号）文件要求实施评价工作，本次评价对象为自主择业军转干部地方配套经费，评价核心为项目资金、项目产出、项目效益。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4.绩效评价依据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(1)《中华人民共和国预算法》；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(2)《中共中央国务院关于全面实施预算绩效管理的意见》（中发〔2018〕34号）；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(3)《项目支出绩效评价管理办法》（财预〔2020〕10号）；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(4)《自治区财政支出绩效评价管理暂行办法》（新财预〔2018〕189号）；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（5）《政府会计制度》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（6）《退役军人事务局预算管理制度》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（7）《昌吉州退役军人事务局绩效工作制度》</w:t>
      </w:r>
    </w:p>
    <w:p w14:paraId="4244C70E">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16812EAC">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正确的评价方法是评价工作顺利开展的保障，在结合实际经验的情况下，绩效评价小组根据该项目资金的性质和特点，选用比较法、公众评判法以及文献法对项目进行评价，旨在通过综合分析影响绩效目标实现、实施效果的内外部因素，从而评价本项目绩效。三级指标分析环节：总体采用比较法，同时辅以文献法</w:t>
      </w:r>
      <w:bookmarkStart w:id="0" w:name="_GoBack"/>
      <w:bookmarkEnd w:id="0"/>
      <w:r>
        <w:rPr>
          <w:rStyle w:val="18"/>
          <w:rFonts w:hint="eastAsia" w:ascii="楷体" w:hAnsi="楷体" w:eastAsia="楷体"/>
          <w:b w:val="0"/>
          <w:bCs w:val="0"/>
          <w:spacing w:val="-4"/>
          <w:sz w:val="32"/>
          <w:szCs w:val="32"/>
        </w:rPr>
        <w:t>以及公众评判法。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11EC455F">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14:paraId="4C2BE2A6">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于2024年3月1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冯亚新（评价小组组长）：主要负责项目策划和监督，全面负责项目绩效评价办稿的最终质量，对评估人员出具的最终报告质量进行复核，确保评估结果的客观性；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刘永强（评价小组组员）：主要负责资料的收集，取证、数据统计分析；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妥明（评价小组组员）：主要负责主要负责项目报告的制定，指标的研判，数据分析及报告撰写。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2024年3月5日-3月25日，评价工作进入实施阶段。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数据采集方面，评价小组项目负责人、财务人员进行访谈沟通，全面了解项目实施的目的、预算安排、实施内容、组织管理、实施结果等方面的内容；全面收集项目决策过程、资金使用管理、制度建设与执行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质量管理、项目建设及验收等相关资料，完成绩效评价内容所需的印证资料整理，所有数据经核查后统计汇总。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经调研了解，该项目主要受益群体包括州直106名自主择业军转干部。我们根据绩效评价目标和绩效指标体系，设计满意度调查问卷进行问卷调查，其中106名自主择业军转干部受益对象共选取样本20人，共发放问卷20份，最终收回20份。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2024年3月9日-3月15日，评价小组按照绩效评价的原则和规范，对取得的资料进行审查核实，对采集的数据进行分析，按照绩效评价指标评分表逐项进行打分、分析、汇总各方评价结果。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4.撰写与提交评价报告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2024年3月16日-3月30日，评价小组撰写绩效评价报告，按照新疆维吾尔自治区财政绩效管理信息系统绩效评价模块中统一格式和文本框架撰写绩效评价报告并提交审核。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5.问题整改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6.档案整理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45273841">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4F596455">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本项目较大程度达成年初设立的绩效目标，在实施过程中取得了良好的成效，具体表现在：通过项目的实施，完成缴纳职工基本医疗保险、缴纳大额医疗、发放取暖费、缴纳公务员医疗补助；服务退役军人能力得到提升，促进社会和谐、无信访事件，提高了退役军人获得感、荣誉感，提升了退役军人满意度。但在实施过程中也存在一些不足：在项目实施事前过程中需要整合各方面因素，加大预算管理制度建设，贯彻落实相关办法制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本项目共设置三级指标数量22个，实现三级指标数量22个，总体完成率为100.00%，最终评分结果：总分为100.00分，绩效评级为“优”。综合评价结论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项目决策类指标共设置6个，满分指标6个，得分率100.00%；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过程管理类指标共设置5个，满分指标5个，得分率100.00%；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项目产出类指标共设置8个，满分指标8个，得分率100.00%；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项目效益类指标共设置3个，满分指标3个，得分率100.00%。</w:t>
      </w:r>
    </w:p>
    <w:p w14:paraId="60C80B9B">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21F335B9">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287486FD">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项目决策类指标由3个二级指标和6个三级指标构成，权重分21.00分，实际得分21.00分。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1.项目立项情况分析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立项符合《退役军人保障法》第九条：退役军人保障工作所需经费由中央和地方共同承担。第五十条：退役军人依法参加当地政府的养老、医疗、工伤、失业等社会保险，并享受相应待遇。《军队转业干部安置暂行办法》第五十九条：到地方后，未被党和国家机关、团体、企业事业单位录用聘用期间的住房补贴和医疗保障所需经费，由安置地政府解决。《关于自主择业的军队转业干部安置管理若干问题的意见》第四部分参加基本医疗保险所需缴纳的单位缴费部分和公务员医疗补助所需经费由安置地政府解决。《关于印发&lt;新疆维吾尔自治区贯彻关于自主择业的军队转业干部安置管理若干问题的意见的实施意见&gt;的通知》(新转联〔2001〕6号)：自主择业军转干部医疗保障属单位缴费和按国家公务员补助的部分及冬季取暖费由同级财政纳入当年财政预算，符合行业发展规划和政策要求；本项目立项符合《昌吉回族自治州退役军人事务局单位配置内设机构和人员编制规定》中职责范围中的“第三条 自治州退役军人事务局贯彻落实党中央关于退役军人工作的苏针政策和决策部署以及自治区、自治州党委工作要求，在履行职责过程中坚持和加强党对退役军人工作的集中统一领导。(二)负责军队转业干部、复员干部、离休退休干部、役士兵和无军籍退休退职职工的移交安置工作和自主择业退役军人服务管理工作;拟订退役军人留昌安置优惠优待政策措施”，属于我单位履职所需；根据《财政资金直接支付申请书》，本项目资金性质为“公共财政预算”功能分类为“2080905军队转业干部安置”经济分类为“医疗费补助”属于公共财政支持范围，符合中央、地方事权支出责任划分原则；经检查我单位财政应用平台指标，本项目不存在重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综上所述，本指标满分为5.00分，根据评分标准得5.00分，本项目立项依据充分。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不涉及发改立项批复流程，由我单位自行编制项目实施方案和项目预算申请计划，经过与党委会研究确定最终预算方案。经查看，该项目申请设立过程产生的相关文件，符合相关要求。</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属于专项资金安排项目，不涉及事前绩效评估、可行性研究以及风险评估，由我单位严格按照《关于下达昌吉州本级预算单位2023年部门预算的通知》（昌州财行〔2023〕1号）文件要求实施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综上所述，本指标满分为3.00分，根据评分标准得3.00分，本项目立项程序规范。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2.绩效目标情况分析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已设置年度绩效目标，具体内容为“为州直现有自主择业军转干部106人缴纳基本医疗保险费、公务员医疗补助、大病医疗保险金、取暖费；本项目实际工作内容为：为州直现有自主择业军转干部106人缴纳基本医疗保险费、公务员医疗补助、大病医疗保险金、取暖费；绩效目标与实际工作内容一致，两者具有相关性;本项目按照绩效目标完成了数量指标、质量指标、时效指标、成本指标，使退役军人满意度提升，能力得到提升，退役军人获得感、幸福感逐年提升，年度绩效目标完成，预期产出效益和效果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综上所述，本指标满分为4.00分，根据评分标准得4.00分，本项目绩效目标设置合理。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（2）绩效指标明确性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4个，二级指标5个，三级指标11个，定量指标9个，定性指标2个，指标量化率为81.82%，量化率达70.00%以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综上所述，本指标满分为3.00分，根据评分标准得3.00分，本项目所设置绩效指标明确。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（1）预算编制科学性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本项目预算编制通过政府相关政策要求得出，即预算编制较科学且经过论证；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106名州直自主择业军转干部106人缴纳基本医疗保险，项目实际内容为州直自主择业军转干部106人缴纳基本医疗保险，预算申请与《自主择业军转干部地方配套经费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本项目预算申请资金184.80万元，我单位在预算申请中严格按照单位标准和数量进行核算，其中：（一）基本医疗保险费：[16000元/月×8%×12个月〕×106人等于1,628,160.00元； （二）公务员医疗补助：[16000元/月×0.5%×12个月〕×106人等于101,760.00元； （三）大病医疗保险金：5元/月×12个月×106人等于6,360.00元； （四）取暖费：（935元/人×35人+1100元/人×70人+1430元/人×1人）等于111,155.00元；本项目预算额度测算依据充分，严格按照标准编制，预算确定资金量与实际工作任务相匹配；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综上所述，本指标满分为4.00分，根据评分标准4.00分，本项目预算编制科学。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（2）资金分配合理性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分配资金以《关于申请自主择业军转干部地方配套经费项目资金的请示》和《自主择业军转干部地方配套经费项目实施方案》为依据进行资金分配，预算资金分配依据充分。根据《关于下达昌吉州本级预算单位2023年部门预算的通知》（昌州财行〔2023〕1号）》文件显示，本项目实际到位资金184.80万元，实际分配资金与我单位提交申请的资金额度一致，资金分配额度合理，与我单位实际需求相适应。</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综上所述，本指标满分为2.00分，根据评分标准得2.00分，本项目资金分配合理。</w:t>
      </w:r>
      <w:r>
        <w:rPr>
          <w:rStyle w:val="18"/>
          <w:rFonts w:hint="eastAsia" w:ascii="楷体" w:hAnsi="楷体" w:eastAsia="楷体"/>
          <w:b w:val="0"/>
          <w:bCs w:val="0"/>
          <w:spacing w:val="-4"/>
          <w:sz w:val="32"/>
          <w:szCs w:val="32"/>
        </w:rPr>
        <w:tab/>
      </w:r>
    </w:p>
    <w:p w14:paraId="244FA7DB">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10CD6332">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项目过程管理类指标由2个二级指标和5个三级指标构成，权重分19.00分，实际得分19.00分。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184.80万元，其中：本级财政安排资金184.80万元，其他资金0.00万元，实际到位资金184.80万元，资金到位率等于（实际到位资金/预算资金）×100.00%等于（184.80/184.80）*100.00%等于100.00%。得分等于资金到位率*分值等于100.00%*4等于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本项目实际支出资金183.56万元，预算执行率等于（实际支出资金/实际到位资金）×100.00%等于（184.80/184.80）*100.00%等于100.00%。得分等于预算执行率*分值等于100.00%*5等于5分。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通过检查本项目签订的合同、资金申请文件、发票等财务付款凭证，得出本项目资金支出符合国家财经法规、《政府会计制度》、《退役军人事务局预算管理制度》 、《昌吉州退役军人事务局绩效工作制度》，资金的拨付有完整的审批程序和手续，资金实际使用方向与预算批复用途一致，不存在截留、挤占、挪用、虚列支出的情况。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综上所述，本指标满分为4.00分，根据评分标准得4.00分，资金支出符合我单位财务管理制度规定。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（1）管理制度健全性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我单位已制定《退役军人事务局预算管理制度》 、《昌吉州退役军人事务局绩效工作制度》，上述已建立的制度均符合行政事业单位内控管理要求，财务和业务管理制度合法、合规、完整，本项目执行符合上述制度规定。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综上所述，本指标满分为2.00分，根据评分标准得2.00分，项目制度建设健全。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（2）制度执行有效性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自主择业军转干部地方配套经费项目工作领导小组，由党组书记王效文任组长，负责项目的组织工作；刘永强任副组长，负责项目的实施工作；组员包括：妥明，主要负责项目监督管理、验收以及资金核拨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综上所述，本指标满分为4.00分，根据评分标准得4.00分，本项目所建立制度执行有效。</w:t>
      </w:r>
    </w:p>
    <w:p w14:paraId="11285963">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456A1A4A">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项目产出类指标由3个二级指标和8个三级指标构成，权重分30.0分，实际得分30.00分。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1.数量指标完成情况分析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“缴纳职工基本医疗保险人数（人数）”指标：预期指标值为“大于等于106人”，实际完成指标值为“等于106人”，指标完成率为100.00%。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“缴纳大额医疗人数（人数）”指标：预期指标值为“大于等于106人”，实际完成指标值为“等于106人”，指标完成率为100.00%。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“发放取暖费（人数）”指标：预期指标值为“大于等于106人”，实际完成指标值为“等于106人”，指标完成率为100.00%。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“缴纳公务员医疗补助人数（人数）”指标：预期指标值为“大于等于106人”，实际完成指标值为“等于106人”，指标完成率为100.00%。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2.质量指标完成情况分析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“经费完成率（%）”指标：预期指标值为“等于100.00%”，实际完成指标值为“等于100.00%”，指标完成率为100.00%。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综上所述，本指标满分为2.0分，根据评分标准得2.0分。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时效指标完成情况分析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4.成本指标完成情况分析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 “大病医疗保险金” 指标：预期指标值为“等于100.00%”，实际完成指标值为“等于100.00%”，指标完成率为100.00%。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“基本医疗保险费” 指标：预期指标值为“等于100.00%”，实际完成指标值为“等于100.00%”，指标完成率为100.00%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“公务员医疗补助” 指标：预期指标值为“等于100.00%”，实际完成指标值为“等于100.00%”，指标完成率为100.00%综上所述，本指标满分为4.00分，根据评分标准得4.00分。</w:t>
      </w:r>
    </w:p>
    <w:p w14:paraId="63CED9E0">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165A4A56">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项目效益类指标由2个二级指标和3个三级指标构成，权重分30.00分，实际得分30.00分。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1.经济效益完成情况分析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2.社会效益完成情况分析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“服务退役军人能力得到提升，促进社会和谐、无信访事件”指标：预期指标值为“提高”，实际完成指标值为“基本达成目标”，指标完成率为100.00%。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综上所述，本指标满分为10.00分，根据评分标准得10.00分。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“退役军人获得感、荣誉感”指标：预期指标值为“提升”，实际完成指标值为“基本达成目标”，指标完成率为100.00%。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综上所述，本指标满分为10.00分，根据评分标准得10.00分。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3.生态效益完成情况分析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“退役军人满意度”指标：预期指标值为“大于等于95.00%”，实际完成指标值为“等于96.67%”，指标完成率为100.00%。（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综上所述，本指标满分为10.00分，根据评分标准得10.00分。</w:t>
      </w:r>
    </w:p>
    <w:p w14:paraId="7EC81E3D">
      <w:pPr>
        <w:spacing w:line="540" w:lineRule="exact"/>
        <w:ind w:firstLine="567"/>
        <w:rPr>
          <w:rStyle w:val="18"/>
          <w:rFonts w:ascii="楷体" w:hAnsi="楷体" w:eastAsia="楷体"/>
          <w:spacing w:val="-4"/>
          <w:sz w:val="32"/>
          <w:szCs w:val="32"/>
        </w:rPr>
      </w:pPr>
    </w:p>
    <w:p w14:paraId="62E225B8">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预算执行进度与绩效指标偏差</w:t>
      </w:r>
    </w:p>
    <w:p w14:paraId="76E5C5F4">
      <w:pPr>
        <w:spacing w:line="540" w:lineRule="exact"/>
        <w:ind w:firstLine="567"/>
        <w:rPr>
          <w:rStyle w:val="18"/>
          <w:rFonts w:hint="default" w:ascii="黑体" w:hAnsi="黑体" w:eastAsia="黑体"/>
          <w:b w:val="0"/>
          <w:spacing w:val="-4"/>
          <w:sz w:val="32"/>
          <w:szCs w:val="32"/>
          <w:lang w:val="en-US" w:eastAsia="zh-CN"/>
        </w:rPr>
      </w:pPr>
      <w:r>
        <w:rPr>
          <w:rStyle w:val="18"/>
          <w:rFonts w:hint="eastAsia" w:ascii="楷体" w:hAnsi="楷体" w:eastAsia="楷体"/>
          <w:b w:val="0"/>
          <w:bCs w:val="0"/>
          <w:spacing w:val="-4"/>
          <w:sz w:val="32"/>
          <w:szCs w:val="32"/>
        </w:rPr>
        <w:t>本项目年初预算资金总额为184.80万元，全年预算数为184.80万元，全年执行数为184.80万元，预算执行率为100.00%。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本项目共设置三级指标数量22个，满分指标数量22个，扣分指标数量0个，经分析计算所有三级指标完成率得出，本项目总体完成率为100.00%。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综上所述本项目预算执行进度与总体完成进度之间的偏差为0.000%。</w:t>
      </w:r>
    </w:p>
    <w:p w14:paraId="1D727756">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14:paraId="09688BFA">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按照安置地政府的有关规定，统一参加安置地的基本医疗保险，并享受公务员医疗补助待遇。参加基本医疗保险所需缴纳的单位缴费部分和公务员医疗补助，由安置地军队转业干部安置工作部门向当地统筹地区社会保险经办机构缴纳，所需经费由安置地政府解决，自主择业享受公务员医保待遇人员名单进行保密管理。（二）存在的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一是对于退役安置工作的宣传力度不够。</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二是对档案工作重视程度不高，意识淡薄。单位人员对绩效档案管理工作重视程度不够，不注重关键时间节点材料的鉴定归档，造成绩效管理工作档案缺失。</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三是单位人员对档案管理工作缺少针对性和目的性，对绩效档案工作重要性的认识不足，缺乏熟练的业务知识，使绩效档案管理与实际业务存在一定偏差，未发挥其综合价值。</w:t>
      </w:r>
    </w:p>
    <w:p w14:paraId="07F9EFDD">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14:paraId="790C4812">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继续与主流媒体、网络平台加强协调联动，建立常态化宣传机制，全方位传播退役军人安置工作的必要性。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加强学习《中华人民共和国预算法》、《财政支出绩效评价管理暂行办法》（财预〔2020〕10号）、《中共中央国务院关于全面实施预算绩效管理的意见》（中发〔2018〕34号）、等相关规定，严格按照预算执行精确编制目标任务，发现问题及时调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扎实推进档案规范化建设，提升档案管理水平。进一步完善项目评价资料。项目启动时同步做好档案的归纳与整理，及时整理、收集、汇总，健全档案资料。严格落实自治区关于绩效管理工作档案资料归档的相关要求，强化收集力度，确保归档资料的完整齐全</w:t>
      </w:r>
    </w:p>
    <w:p w14:paraId="01C30C5B">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14:paraId="7F8DDA9B">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（四）我单位对上述项目支出绩效评价报告内反映内容的真实性、完整性负责，接受上级部门及社会公众监督。</w:t>
      </w:r>
    </w:p>
    <w:p w14:paraId="6185839C">
      <w:pPr>
        <w:spacing w:line="540" w:lineRule="exact"/>
        <w:ind w:firstLine="567"/>
        <w:rPr>
          <w:rStyle w:val="18"/>
          <w:rFonts w:ascii="仿宋" w:hAnsi="仿宋" w:eastAsia="仿宋"/>
          <w:b w:val="0"/>
          <w:spacing w:val="-4"/>
          <w:sz w:val="32"/>
          <w:szCs w:val="32"/>
        </w:rPr>
      </w:pPr>
    </w:p>
    <w:p w14:paraId="0B0E949F">
      <w:pPr>
        <w:spacing w:line="540" w:lineRule="exact"/>
        <w:ind w:firstLine="567"/>
        <w:rPr>
          <w:rStyle w:val="18"/>
          <w:rFonts w:ascii="仿宋" w:hAnsi="仿宋" w:eastAsia="仿宋"/>
          <w:b w:val="0"/>
          <w:spacing w:val="-4"/>
          <w:sz w:val="32"/>
          <w:szCs w:val="32"/>
        </w:rPr>
      </w:pPr>
    </w:p>
    <w:p w14:paraId="43CD7A73">
      <w:pPr>
        <w:spacing w:line="540" w:lineRule="exact"/>
        <w:ind w:firstLine="567"/>
        <w:rPr>
          <w:rStyle w:val="18"/>
          <w:rFonts w:ascii="仿宋" w:hAnsi="仿宋" w:eastAsia="仿宋"/>
          <w:b w:val="0"/>
          <w:spacing w:val="-4"/>
          <w:sz w:val="32"/>
          <w:szCs w:val="32"/>
        </w:rPr>
      </w:pPr>
    </w:p>
    <w:p w14:paraId="400FE57B">
      <w:pPr>
        <w:spacing w:line="540" w:lineRule="exact"/>
        <w:ind w:firstLine="567"/>
        <w:rPr>
          <w:rStyle w:val="18"/>
          <w:rFonts w:ascii="仿宋" w:hAnsi="仿宋" w:eastAsia="仿宋"/>
          <w:b w:val="0"/>
          <w:spacing w:val="-4"/>
          <w:sz w:val="32"/>
          <w:szCs w:val="32"/>
        </w:rPr>
      </w:pPr>
    </w:p>
    <w:p w14:paraId="6B4E1EC2">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41EAFF84">
        <w:pPr>
          <w:pStyle w:val="12"/>
          <w:jc w:val="center"/>
        </w:pPr>
        <w:r>
          <w:fldChar w:fldCharType="begin"/>
        </w:r>
        <w:r>
          <w:instrText xml:space="preserve">PAGE   \* MERGEFORMAT</w:instrText>
        </w:r>
        <w:r>
          <w:fldChar w:fldCharType="separate"/>
        </w:r>
        <w:r>
          <w:rPr>
            <w:lang w:val="zh-CN"/>
          </w:rPr>
          <w:t>2</w:t>
        </w:r>
        <w:r>
          <w:fldChar w:fldCharType="end"/>
        </w:r>
      </w:p>
    </w:sdtContent>
  </w:sdt>
  <w:p w14:paraId="5374D51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EE2341"/>
    <w:rsid w:val="0BFB189F"/>
    <w:rsid w:val="11BD75F7"/>
    <w:rsid w:val="13BE561A"/>
    <w:rsid w:val="15392994"/>
    <w:rsid w:val="18FE139B"/>
    <w:rsid w:val="3029612C"/>
    <w:rsid w:val="32A221C5"/>
    <w:rsid w:val="33F20F2A"/>
    <w:rsid w:val="34C44675"/>
    <w:rsid w:val="3B5B5607"/>
    <w:rsid w:val="3CE21B3C"/>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uiPriority w:val="10"/>
    <w:rPr>
      <w:rFonts w:asciiTheme="majorHAnsi" w:hAnsiTheme="majorHAnsi" w:eastAsiaTheme="majorEastAsia"/>
      <w:b/>
      <w:bCs/>
      <w:kern w:val="28"/>
      <w:sz w:val="32"/>
      <w:szCs w:val="32"/>
    </w:rPr>
  </w:style>
  <w:style w:type="character" w:customStyle="1" w:styleId="30">
    <w:name w:val="副标题 Char"/>
    <w:basedOn w:val="17"/>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uiPriority w:val="99"/>
    <w:rPr>
      <w:rFonts w:ascii="Calibri" w:hAnsi="Calibri" w:eastAsia="宋体"/>
      <w:kern w:val="2"/>
      <w:sz w:val="18"/>
      <w:szCs w:val="18"/>
    </w:rPr>
  </w:style>
  <w:style w:type="character" w:customStyle="1" w:styleId="44">
    <w:name w:val="页脚 Char"/>
    <w:basedOn w:val="17"/>
    <w:link w:val="12"/>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7586</Words>
  <Characters>8044</Characters>
  <Lines>4</Lines>
  <Paragraphs>1</Paragraphs>
  <TotalTime>2</TotalTime>
  <ScaleCrop>false</ScaleCrop>
  <LinksUpToDate>false</LinksUpToDate>
  <CharactersWithSpaces>8073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巴霍巴利</cp:lastModifiedBy>
  <cp:lastPrinted>2018-12-31T10:56:00Z</cp:lastPrinted>
  <dcterms:modified xsi:type="dcterms:W3CDTF">2025-09-18T05:02:54Z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D4BFFE65209C49D59C1399C10B81F7B2_13</vt:lpwstr>
  </property>
</Properties>
</file>