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966BB">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附件2：</w:t>
      </w:r>
    </w:p>
    <w:p w14:paraId="1830173B">
      <w:pPr>
        <w:spacing w:line="540" w:lineRule="exact"/>
        <w:jc w:val="center"/>
        <w:rPr>
          <w:rFonts w:ascii="华文中宋" w:hAnsi="华文中宋" w:eastAsia="华文中宋" w:cs="宋体"/>
          <w:b/>
          <w:kern w:val="0"/>
          <w:sz w:val="52"/>
          <w:szCs w:val="52"/>
        </w:rPr>
      </w:pPr>
    </w:p>
    <w:p w14:paraId="11A63186">
      <w:pPr>
        <w:spacing w:line="540" w:lineRule="exact"/>
        <w:jc w:val="center"/>
        <w:rPr>
          <w:rFonts w:ascii="华文中宋" w:hAnsi="华文中宋" w:eastAsia="华文中宋" w:cs="宋体"/>
          <w:b/>
          <w:kern w:val="0"/>
          <w:sz w:val="52"/>
          <w:szCs w:val="52"/>
        </w:rPr>
      </w:pPr>
    </w:p>
    <w:p w14:paraId="7AF232E4">
      <w:pPr>
        <w:spacing w:line="540" w:lineRule="exact"/>
        <w:jc w:val="center"/>
        <w:rPr>
          <w:rFonts w:ascii="华文中宋" w:hAnsi="华文中宋" w:eastAsia="华文中宋" w:cs="宋体"/>
          <w:b/>
          <w:kern w:val="0"/>
          <w:sz w:val="52"/>
          <w:szCs w:val="52"/>
        </w:rPr>
      </w:pPr>
    </w:p>
    <w:p w14:paraId="665ED88F">
      <w:pPr>
        <w:spacing w:line="540" w:lineRule="exact"/>
        <w:jc w:val="center"/>
        <w:rPr>
          <w:rFonts w:ascii="华文中宋" w:hAnsi="华文中宋" w:eastAsia="华文中宋" w:cs="宋体"/>
          <w:b/>
          <w:kern w:val="0"/>
          <w:sz w:val="52"/>
          <w:szCs w:val="52"/>
        </w:rPr>
      </w:pPr>
    </w:p>
    <w:p w14:paraId="66E3F486">
      <w:pPr>
        <w:spacing w:line="540" w:lineRule="exact"/>
        <w:jc w:val="center"/>
        <w:rPr>
          <w:rFonts w:ascii="华文中宋" w:hAnsi="华文中宋" w:eastAsia="华文中宋" w:cs="宋体"/>
          <w:b/>
          <w:kern w:val="0"/>
          <w:sz w:val="52"/>
          <w:szCs w:val="52"/>
        </w:rPr>
      </w:pPr>
    </w:p>
    <w:p w14:paraId="0A4CCDEA">
      <w:pPr>
        <w:spacing w:line="540" w:lineRule="exact"/>
        <w:jc w:val="center"/>
        <w:rPr>
          <w:rFonts w:ascii="华文中宋" w:hAnsi="华文中宋" w:eastAsia="华文中宋" w:cs="宋体"/>
          <w:b/>
          <w:kern w:val="0"/>
          <w:sz w:val="52"/>
          <w:szCs w:val="52"/>
        </w:rPr>
      </w:pPr>
    </w:p>
    <w:p w14:paraId="03E73BE7">
      <w:pPr>
        <w:spacing w:line="540" w:lineRule="exact"/>
        <w:jc w:val="center"/>
        <w:rPr>
          <w:rFonts w:ascii="方正小标宋_GBK" w:hAnsi="华文中宋" w:eastAsia="方正小标宋_GBK" w:cs="宋体"/>
          <w:b/>
          <w:kern w:val="0"/>
          <w:sz w:val="48"/>
          <w:szCs w:val="48"/>
        </w:rPr>
      </w:pPr>
      <w:r>
        <w:rPr>
          <w:rFonts w:hint="eastAsia" w:ascii="方正小标宋_GBK" w:hAnsi="华文中宋" w:eastAsia="方正小标宋_GBK" w:cs="宋体"/>
          <w:b/>
          <w:kern w:val="0"/>
          <w:sz w:val="48"/>
          <w:szCs w:val="48"/>
        </w:rPr>
        <w:t>项目支出绩效自评报告</w:t>
      </w:r>
    </w:p>
    <w:p w14:paraId="673CAD62">
      <w:pPr>
        <w:spacing w:line="540" w:lineRule="exact"/>
        <w:jc w:val="center"/>
        <w:rPr>
          <w:rFonts w:ascii="华文中宋" w:hAnsi="华文中宋" w:eastAsia="华文中宋" w:cs="宋体"/>
          <w:b/>
          <w:kern w:val="0"/>
          <w:sz w:val="52"/>
          <w:szCs w:val="52"/>
        </w:rPr>
      </w:pPr>
    </w:p>
    <w:p w14:paraId="700A19C6">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8"/>
          <w:rFonts w:hint="eastAsia" w:ascii="楷体" w:hAnsi="楷体" w:eastAsia="楷体"/>
          <w:spacing w:val="-4"/>
          <w:sz w:val="32"/>
          <w:szCs w:val="32"/>
        </w:rPr>
        <w:t>2023</w:t>
      </w:r>
      <w:r>
        <w:rPr>
          <w:rFonts w:hint="eastAsia" w:hAnsi="宋体" w:eastAsia="仿宋_GB2312" w:cs="宋体"/>
          <w:kern w:val="0"/>
          <w:sz w:val="36"/>
          <w:szCs w:val="36"/>
        </w:rPr>
        <w:t xml:space="preserve">  年度）</w:t>
      </w:r>
    </w:p>
    <w:p w14:paraId="42B3588D">
      <w:pPr>
        <w:spacing w:line="540" w:lineRule="exact"/>
        <w:jc w:val="center"/>
        <w:rPr>
          <w:rFonts w:hAnsi="宋体" w:eastAsia="仿宋_GB2312" w:cs="宋体"/>
          <w:kern w:val="0"/>
          <w:sz w:val="30"/>
          <w:szCs w:val="30"/>
        </w:rPr>
      </w:pPr>
    </w:p>
    <w:p w14:paraId="0E5914F9">
      <w:pPr>
        <w:spacing w:line="540" w:lineRule="exact"/>
        <w:jc w:val="center"/>
        <w:rPr>
          <w:rFonts w:hAnsi="宋体" w:eastAsia="仿宋_GB2312" w:cs="宋体"/>
          <w:kern w:val="0"/>
          <w:sz w:val="30"/>
          <w:szCs w:val="30"/>
        </w:rPr>
      </w:pPr>
    </w:p>
    <w:p w14:paraId="3D7165EF">
      <w:pPr>
        <w:spacing w:line="540" w:lineRule="exact"/>
        <w:jc w:val="center"/>
        <w:rPr>
          <w:rFonts w:hAnsi="宋体" w:eastAsia="仿宋_GB2312" w:cs="宋体"/>
          <w:kern w:val="0"/>
          <w:sz w:val="30"/>
          <w:szCs w:val="30"/>
        </w:rPr>
      </w:pPr>
    </w:p>
    <w:p w14:paraId="0E206ED0">
      <w:pPr>
        <w:spacing w:line="540" w:lineRule="exact"/>
        <w:jc w:val="center"/>
        <w:rPr>
          <w:rFonts w:hAnsi="宋体" w:eastAsia="仿宋_GB2312" w:cs="宋体"/>
          <w:kern w:val="0"/>
          <w:sz w:val="30"/>
          <w:szCs w:val="30"/>
        </w:rPr>
      </w:pPr>
    </w:p>
    <w:p w14:paraId="08103562">
      <w:pPr>
        <w:spacing w:line="540" w:lineRule="exact"/>
        <w:jc w:val="center"/>
        <w:rPr>
          <w:rFonts w:hAnsi="宋体" w:eastAsia="仿宋_GB2312" w:cs="宋体"/>
          <w:kern w:val="0"/>
          <w:sz w:val="30"/>
          <w:szCs w:val="30"/>
        </w:rPr>
      </w:pPr>
    </w:p>
    <w:p w14:paraId="45A51C7D">
      <w:pPr>
        <w:spacing w:line="540" w:lineRule="exact"/>
        <w:jc w:val="center"/>
        <w:rPr>
          <w:rFonts w:hAnsi="宋体" w:eastAsia="仿宋_GB2312" w:cs="宋体"/>
          <w:kern w:val="0"/>
          <w:sz w:val="30"/>
          <w:szCs w:val="30"/>
        </w:rPr>
      </w:pPr>
    </w:p>
    <w:p w14:paraId="560E3951">
      <w:pPr>
        <w:spacing w:line="540" w:lineRule="exact"/>
        <w:rPr>
          <w:rFonts w:hAnsi="宋体" w:eastAsia="仿宋_GB2312" w:cs="宋体"/>
          <w:kern w:val="0"/>
          <w:sz w:val="30"/>
          <w:szCs w:val="30"/>
        </w:rPr>
      </w:pPr>
    </w:p>
    <w:p w14:paraId="7ECDEEFD">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14:paraId="234F7653">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8"/>
          <w:rFonts w:hint="eastAsia" w:ascii="楷体" w:hAnsi="楷体" w:eastAsia="楷体"/>
          <w:spacing w:val="-4"/>
          <w:sz w:val="32"/>
          <w:szCs w:val="32"/>
        </w:rPr>
        <w:t>事业单位公开招聘工作经费</w:t>
      </w:r>
    </w:p>
    <w:p w14:paraId="7D35F83B">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8"/>
          <w:rFonts w:hint="eastAsia" w:ascii="楷体" w:hAnsi="楷体" w:eastAsia="楷体"/>
          <w:spacing w:val="-4"/>
          <w:sz w:val="28"/>
          <w:szCs w:val="28"/>
        </w:rPr>
        <w:t>昌吉回族自治州人力资源和社会保障服务中心</w:t>
      </w:r>
    </w:p>
    <w:p w14:paraId="48C45F7B">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8"/>
          <w:rFonts w:hint="eastAsia" w:ascii="楷体" w:hAnsi="楷体" w:eastAsia="楷体"/>
          <w:spacing w:val="-4"/>
          <w:sz w:val="28"/>
          <w:szCs w:val="28"/>
        </w:rPr>
        <w:t>昌吉回族自治州人力资源和社会保障服务中心</w:t>
      </w:r>
    </w:p>
    <w:p w14:paraId="0BFA85FA">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8"/>
          <w:rFonts w:hint="eastAsia" w:ascii="楷体" w:hAnsi="楷体" w:eastAsia="楷体"/>
          <w:spacing w:val="-4"/>
          <w:sz w:val="32"/>
          <w:szCs w:val="32"/>
        </w:rPr>
        <w:t>蔡小华、许敏杰</w:t>
      </w:r>
    </w:p>
    <w:p w14:paraId="04607D3F">
      <w:pPr>
        <w:spacing w:line="540" w:lineRule="exact"/>
        <w:ind w:left="273" w:firstLine="567"/>
        <w:rPr>
          <w:rStyle w:val="18"/>
          <w:rFonts w:ascii="楷体" w:hAnsi="楷体" w:eastAsia="楷体"/>
          <w:spacing w:val="-4"/>
          <w:sz w:val="32"/>
          <w:szCs w:val="32"/>
        </w:rPr>
      </w:pPr>
      <w:r>
        <w:rPr>
          <w:rFonts w:hint="eastAsia" w:hAnsi="宋体" w:eastAsia="仿宋_GB2312" w:cs="宋体"/>
          <w:kern w:val="0"/>
          <w:sz w:val="36"/>
          <w:szCs w:val="36"/>
        </w:rPr>
        <w:t>填报时间：</w:t>
      </w:r>
      <w:r>
        <w:rPr>
          <w:rStyle w:val="18"/>
          <w:rFonts w:hint="eastAsia" w:ascii="楷体" w:hAnsi="楷体" w:eastAsia="楷体"/>
          <w:spacing w:val="-4"/>
          <w:sz w:val="32"/>
          <w:szCs w:val="32"/>
        </w:rPr>
        <w:t>2024年03月19日</w:t>
      </w:r>
    </w:p>
    <w:p w14:paraId="0011A15F">
      <w:pPr>
        <w:spacing w:line="700" w:lineRule="exact"/>
        <w:ind w:firstLine="708" w:firstLineChars="236"/>
        <w:jc w:val="left"/>
        <w:rPr>
          <w:rFonts w:hAnsi="宋体" w:eastAsia="仿宋_GB2312" w:cs="宋体"/>
          <w:kern w:val="0"/>
          <w:sz w:val="30"/>
          <w:szCs w:val="30"/>
        </w:rPr>
      </w:pPr>
    </w:p>
    <w:p w14:paraId="28130A3B">
      <w:pPr>
        <w:spacing w:line="540" w:lineRule="exact"/>
        <w:rPr>
          <w:rStyle w:val="18"/>
          <w:rFonts w:ascii="黑体" w:hAnsi="黑体" w:eastAsia="黑体"/>
          <w:b w:val="0"/>
          <w:spacing w:val="-4"/>
          <w:sz w:val="32"/>
          <w:szCs w:val="32"/>
        </w:rPr>
      </w:pPr>
    </w:p>
    <w:p w14:paraId="0C54F8A0">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一、基本情况</w:t>
      </w:r>
    </w:p>
    <w:p w14:paraId="75C5763B">
      <w:pPr>
        <w:spacing w:line="540" w:lineRule="exact"/>
        <w:ind w:firstLine="567"/>
        <w:rPr>
          <w:rStyle w:val="18"/>
          <w:rFonts w:hint="default" w:ascii="楷体" w:hAnsi="楷体" w:eastAsia="楷体"/>
          <w:spacing w:val="-4"/>
          <w:sz w:val="32"/>
          <w:szCs w:val="32"/>
          <w:lang w:val="en-US" w:eastAsia="zh-CN"/>
        </w:rPr>
      </w:pPr>
      <w:r>
        <w:rPr>
          <w:rStyle w:val="18"/>
          <w:rFonts w:hint="eastAsia" w:ascii="楷体" w:hAnsi="楷体" w:eastAsia="楷体"/>
          <w:spacing w:val="-4"/>
          <w:sz w:val="32"/>
          <w:szCs w:val="32"/>
        </w:rPr>
        <w:t>（一）项目概况</w:t>
      </w:r>
      <w:r>
        <w:rPr>
          <w:rStyle w:val="18"/>
          <w:rFonts w:hint="eastAsia" w:ascii="楷体" w:hAnsi="楷体" w:eastAsia="楷体"/>
          <w:spacing w:val="-4"/>
          <w:sz w:val="32"/>
          <w:szCs w:val="32"/>
          <w:lang w:eastAsia="zh-CN"/>
        </w:rPr>
        <w:t>。</w:t>
      </w:r>
    </w:p>
    <w:p w14:paraId="640027F6">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（一）项目概况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1.项目背景</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1）自治区纪检委、组织部、人社厅、监察厅《关于印发〈自治区事业单位面向社会公开招聘工作人员办法〉的通知》(新人社发〔2013〕141号)第七条：“各地（州、市）事业单位人事综合管理部门负责自治区公开招聘政策在本地区事业单位的贯彻执行，并负责地地（州、市）本级所属县（市、区）事业单位公开招聘工作的日常管理、指导和组织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自治区人社厅、财政厅《关于明确自治区人事考试考务费支出具体标准的通知》（新人社发〔2018〕51号）：“人事考试考务支出标准坚持依法合规、集体决策、从严控制的原则，同时严格按照财务管理和自治区津补贴管理规定支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通过组织实施公开招聘工作，解决事业单位用人需求，提高全州事业单位人才层次梯次发展，达到用人单位、社会、考生“三满意”。</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2.主要内容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（1）项目名称：事业单位公开招聘工作经费项目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（2）项目主要内容：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通过组织实施公开招聘工作，解决事业单位用人需求，提高全州事业单位人才层次梯次发展，达到用人单位、社会、考生“三满意”。</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主要内容为：（1）网上报名及缴费。符合报考条件人员，在规定报名时间内登录网上报名系统，自主就近选择笔试地点进行报名。网上报名系统确认照片审核通过后，报考人员按照报名平台网络提示完成网上缴费。（2）笔试按照考试的要求抽取命题专家和工作人员全封闭分科目进行命制，并委托自治区具有保密资质的专业试卷印刷厂进行印制。笔试采取国家通用文字命题、答题、闭卷方式在各县市设置考点统一进行。（3）阅卷根据工作需要抽取专业工作人员和纪检人员全封闭进行阅卷，确保考生成绩准确。（4）事业单位公开招聘资格审查由州招聘办组织实施。（5）事业单位公开招聘面试工作由州招聘办统一组织，制定《面试工作手册》，细化面试流程，责任具体到人，做到各司其责、规范有序、衔接顺畅。</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各地（州、市）事业单位人事综合管理部门负责自治区公开招聘政策在本地区事业单位的贯彻执行，并负责地（州、市）本级及所属县（市、区）事业单位公开招聘工作的日常管理、指导与组织实施；各县（市、区）事业单位人事综合管理部门负责配合各地（州、市）事业单位人事综合管理部门做好所属事业单位公开招聘的具体实施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3.实施情况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实施主体：昌吉州人力资源和社会保障服务中心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实施时间：本项目实施周期为2023年1月-2023年12月。</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实施情况：本项目于2023年1月开始实施，截止2023年12月已全部完成。通过组织2023年事业单位公开招聘（笔试、面试环节），为全州各行各业及时补充1018名新鲜血液，项目的实施进一步拓宽了事业单位的选人渠道，保证了新进人员的素质，强化了政府对人事管理的监督，取得了一定的成效。通过组织实施公开招聘工作，解决事业单位用人需求，提高全州事业单位人才层次梯次发展，达到用人单位、社会、考生“三满意”。</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4.项目实施主体</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（1）主要职能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1.贯彻执行党和国家、自治区关于人力资源和社会保障工作的方针政策、法律法规。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2.承担州内职业技能等级评价机构日常监管和认定工作质量督导的辅助工作，指导开展职业技能等级认定资格备案申报工作；协助开展自治州机关事业单位工勤人员技能等级晋级考核。</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3.组织实施自治州专业技术职称评价；承担继续教育培训机构的业务指导工作。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4.承担自治州高层次紧缺人才服务工作。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5.负责全州及中央、自治区驻州各机关、企事业单位职工和灵活就业人员的劳动能力鉴定工作。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6.承担州本级参保人员工伤认定、全州参保职工的特殊工种认定的辅助工作。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7.组织实施事业单位招聘、专业技术人员资格类考试。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8.承担自治州人力资源和社会保障系统信息化建设和管理服务工作。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9.完成自治州人力资源和社会保障局交办的其他任务。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（2）机构设置情况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昌吉回族自治州人力资源和社会保障服务中心有6个科室，分别是：综合科、社会保障服务科、职称评价科（昌吉州职称社会化评价中心）、人事考试科、职业技能考核鉴定科、高层次人才服务科。</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5.资金投入和使用情况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（1）项目资金安排落实、总投入情况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昌州党财【2023】001号文件，下达2023年事业单位公开招聘工作经费项目资金，预算安排资金总额197.47万元，资金来源为一般财政拨款，其中财政资金197.47万元、其他资金0.00万元，2023年实际收到预算资金197.47万元，预算资金到位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（2）项目资金实际使用情况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截至2023年12月31日，本项目实际支付资金177.72万元，预算执行率90.00%，结余资金19.75万元。项目资金主要用于支付事业单位公开招聘工作，其中笔试工作经费97.72万元，面试工作经费80.00万元。共计费用177.72万元。</w:t>
      </w:r>
    </w:p>
    <w:p w14:paraId="76342289">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（二）项目绩效目标</w:t>
      </w:r>
    </w:p>
    <w:p w14:paraId="552969C7">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1.总体目标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该项目根据事业单位申报的招聘计划，完成了2023年面向社会公开招聘事业单位工作人员工作，通过组织实施3次公开招聘工作，约有2.5万人次参加报名，经过笔试面试等环节，最终为全州各行各业及时补充1018名新鲜血液，及时补充全州事业单位人员队伍力量，为服务经济社会高质量发展提供了人才保障。在解决事业单位用人需求同时，也提高了我州事业单位人才层次梯次发展，达到用人单位、社会、考生“三满意”。</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2.阶段性目标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中华人民共和国预算法》、《中共中央国务院关于全面实施预算绩效管理的意见》（中发〔2018〕34号）、《关于印发&lt;项目支出绩效评价管理办法&gt;的通知》（财预〔2020〕10号）等文件要求，结合本项目实际，对绩效目标进行逐层分解、细化后的具体绩效指标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（1）项目产出目标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①数量指标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“组织事业单位公开招聘次数”指标，预期指标值为“大于等于1次”；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“笔试人数”指标，预期指标值为“大于等于000人”；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“面试人数”指标，预期指标值为“大于等于1700人”；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②质量指标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“事业单位公开招聘完成率”指标，预期指标值为“大于等于95.00%”；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③时效指标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“事业单位公开招聘及时率”指标，预期指标值为“大于等于95.00%”；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（2）项目成本指标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①经济成本指标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“笔试工作经费”指标，预期指标值为“小于等于100.00万元”；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“面试工作经费”指标，预期指标值为“小于等于97.47万元”；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②社会成本指标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③生态环境成本指标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①经济效益指标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②社会效益指标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“解决用人单位用人需求”指标，预期指标值为“解决”；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③生态效益指标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“无此类指标”；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（4）项目满意度目标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①满意度指标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“招聘单位满意度”指标；预期指标值为“大于等于90.00%”</w:t>
      </w:r>
    </w:p>
    <w:p w14:paraId="5EA32217">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二、绩效评价工作开展情况</w:t>
      </w:r>
    </w:p>
    <w:p w14:paraId="78850BFD">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（一）绩效评价目的、对象和范围</w:t>
      </w:r>
    </w:p>
    <w:p w14:paraId="5E1E01EB">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1.绩效评价的目的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遵循财政部《项目支出绩效评价管理办法》（财预〔2020〕10号）和自治区财政厅《自治区财政支出绩效评价管理暂行办法》（新财预〔2018〕189号）等相关政策文件与规定，旨在评价财政项目实施前期、过程及效果，评价财政预算资金使用的效率及效益。通过开展部门项目支出绩效评价，旨在强化部门和资金使用单位的绩效意识，全面了解该项目预算编制合理性、资金使用合规性、项目管理规范性、绩效目标实现情况以及服务对象的满意度等，及时总结经验和教训，为下年度部门项目支出预算安排、完善政策和改进管理提供可行性参考建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2.绩效评价的对象</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遵循财政部《关于印发&lt;项目支出绩效评价管理办法&gt;的通知》（财预〔2020〕10号）以及自治区财政厅《自治区财政支出绩效评价管理暂行办法》（新财预〔2018〕189号）等文件规定，对2023年度我单位实施的事业单位公开招聘工作经费项目开展部门绩效评价，评价核心为项目资金、项目产出、项目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3.绩效评价范围</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绩效评价主要围绕项目资金使用情况、财务管理状况和资产配置、使用、处置及其收益管理情况；项目管理相关制度及措施是否被认真执行；绩效目标的实现程度，包括是否达到预定产出和效果等方面开展综合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4.绩效评价依据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（1）《中华人民共和国预算法》；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（2）《中共中央国务院关于全面实施预算绩效管理的意见》（中发〔2018〕34号）；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（3）《项目支出绩效评价管理办法》（财预〔2020〕10号）；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（4）《自治区财政支出绩效评价管理暂行办法》（新财预〔2018〕189号）；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（5）项目其他相关资料。《关于印发〈自治区事业单位面向社会公开招聘工作人员办法〉的通知》（新人社发〔2013〕141号）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（6）《昌吉州人力资源和社会保障服务中心资金管理办法》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（7）《昌吉州人力资源和社会保障服务中心专项资金管理办法》</w:t>
      </w:r>
    </w:p>
    <w:p w14:paraId="29796855">
      <w:pPr>
        <w:spacing w:line="540" w:lineRule="exact"/>
        <w:ind w:firstLine="567"/>
        <w:rPr>
          <w:rStyle w:val="18"/>
          <w:rFonts w:ascii="楷体" w:hAnsi="楷体" w:eastAsia="楷体"/>
          <w:spacing w:val="-4"/>
          <w:sz w:val="32"/>
          <w:szCs w:val="32"/>
        </w:rPr>
      </w:pPr>
      <w:r>
        <w:rPr>
          <w:rStyle w:val="18"/>
          <w:rFonts w:hint="eastAsia" w:ascii="楷体" w:hAnsi="楷体" w:eastAsia="楷体"/>
          <w:spacing w:val="-4"/>
          <w:sz w:val="32"/>
          <w:szCs w:val="32"/>
        </w:rPr>
        <w:t>（二）绩效评价原则、评价指标体系、评价方法、评价标准</w:t>
      </w:r>
    </w:p>
    <w:p w14:paraId="088B20E5">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1.绩效评价原则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依据《中华人民共和国预算法》、《关于印发&lt;项目支出绩效评价管理办法&gt;的通知》（财预〔2020〕10号）等法规和政策文件要求，本次绩效评价秉承科学规范、公正公开、分级分类、绩效相关等原则，按照从投入、过程到产出效果和影响的绩效逻辑路径，结合事业单位公开招聘工作经费项目实际开展情况，运用定量和定性分析相结合的方法，总结经验做法，反思项目实施和管理中的问题，以切实提升财政资金管理的科学化、规范化和精细化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根据以上原则，绩效评价遵循如下具体要求：</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（1）在数据采集时，采取客观数据主管部门审查、社会中介组织复查与问卷调查相结合的形式，以保证各项指标的真实性。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（2）保证评价结果的真实性、公正性，提高评价报告的公信力。</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（3）绩效评价报告简明扼要，除对绩效评价的过程、结果描述外，还总结经验、指出问题，并就共性问题提出可操作性改进建议。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2.绩效评价指标体系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通过实施资料研读及前期调研，结合项目的实际开展情况，按照《项目支出绩效评价管理办法》（财预〔2020〕10号）文件要求，全面反映项目决策、项目和资金管理、产出和效益，优先选取最具代表性、最能直接反映产出和效益的核心指标，精简实用，绩效评价小组结合项目的实际情况，综合考虑相关性、重要性、可衡量性、可操作性和可实现性，按照逻辑分析法设计本次绩效评价指标体系，绩效评价指标的权重设计突出结果导向，设置指标体系结构如下：设置一级指标共4个，包括：决策指标（21.00%）、过程指标（19.00%）、产出指标（30.00%）、效益指标（30.00%）四类指标；二级和三级指标根据各项指标在评价体系中的重要程度确定，考虑项目实施和管理对项目绩效的影响等因素赋予相应的权重分值。绩效评价小组围绕项目总体绩效目标，将梳理后的年度绩效目标细化分解为个性化产出和效益指标，与共性指标共同构成该项目绩效评价指标体系详见“附件1：项目支出绩效评价绩效评价体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3.评价方法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正确的评价方法是评价工作顺利开展的保障，在结合实际经验的情况下，绩效评价小组根据该项目资金的性质和特点，选用比较法、公众评判法以及文献法对项目进行评价，旨在通过综合分析影响绩效目标实现、实施效果的内外部因素，从而评价本项目绩效。三级指标分析环节：总体采用比较法，同时辅以文献法</w:t>
      </w:r>
      <w:bookmarkStart w:id="0" w:name="_GoBack"/>
      <w:bookmarkEnd w:id="0"/>
      <w:r>
        <w:rPr>
          <w:rStyle w:val="18"/>
          <w:rFonts w:hint="eastAsia" w:ascii="楷体" w:hAnsi="楷体" w:eastAsia="楷体"/>
          <w:b w:val="0"/>
          <w:bCs w:val="0"/>
          <w:spacing w:val="-4"/>
          <w:sz w:val="32"/>
          <w:szCs w:val="32"/>
        </w:rPr>
        <w:t>以及公众评判法。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本次评价采取定量与定性评价相结合的方式，采用比较法、公众评判法对项目实施过程以及预期绩效目标完成情况进行全面、系统的评价，总分由各项指标得分汇总形成。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比较法：通过整理本项目相关资料和数据，评价数量指标的完成情况；通过分析项目的实施情况与绩效目标实现情况，评价项目实施的效果；通过分析项目资金使用情况及产生的效果，评价预算资金分配的合理性。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公众评判法：评价组采用实地访谈、远程访谈相结合方式，对本项目的实施情况进行充分调研，了解掌握资金分配、资金管理、资金使用、制度建设、制度执行情况。采用问卷调查方式，对受益对象开展满意度调查，进行综合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4.评价标准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绩效评价标准通常包括计划标准、行业标准、历史标准等。本次绩效评价采用计划标准，以预先制定的目标、计划、预算、定额等作为评价标准，对比分析项目产出、效益的完成情况。对于定性指标，通过问卷调查及访谈方式，采集相关数据，运用等级描述法，设置分级标准，体现该指标认可程度的差异。对于定量指标，通过公式等方式予以量化，可以准确衡量，并设定目标值的考核指标。</w:t>
      </w:r>
    </w:p>
    <w:p w14:paraId="1C309E75">
      <w:pPr>
        <w:spacing w:line="540" w:lineRule="exact"/>
        <w:ind w:firstLine="567" w:firstLineChars="181"/>
        <w:rPr>
          <w:rStyle w:val="18"/>
          <w:rFonts w:ascii="楷体" w:hAnsi="楷体" w:eastAsia="楷体"/>
          <w:spacing w:val="-4"/>
          <w:sz w:val="32"/>
          <w:szCs w:val="32"/>
        </w:rPr>
      </w:pPr>
      <w:r>
        <w:rPr>
          <w:rStyle w:val="18"/>
          <w:rFonts w:hint="eastAsia" w:ascii="楷体" w:hAnsi="楷体" w:eastAsia="楷体"/>
          <w:spacing w:val="-4"/>
          <w:sz w:val="32"/>
          <w:szCs w:val="32"/>
        </w:rPr>
        <w:t>（三）绩效评价工作过程</w:t>
      </w:r>
    </w:p>
    <w:p w14:paraId="7B57B370">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1.前期准备。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于2024年3月10日，确定绩效评价工作小组，正式开始前期准备工作，通过对评价对象前期调研，确定了评价的目的、方法以及评价的原则，根据项目的内容和特征制定了评价指标体系及评价标准。绩效评价工作小组人员名单及分工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艾合买提江·阿布力孜任评价组组长，绩效评价工作职责为检查项目绩效指标完成情况、审定项目支出绩效评价结果及项目支出绩效评价报告。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蒋佳彤任评价组副组长，绩效评价工作职责为组织和协调项目工作人员采取实地调查、资料检查等方式，核实项目绩效指标完成情况；组织受益对象对项目工作进行评价等。</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王俊瑛任评价组成员，绩效评价工作职责为做好项目支出绩效评价工作的沟通协调工作，对项目实施情况进行实地调查，编写项目支出绩效评价报告。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2024年3月11日-3月20日，评价工作进入实施阶段。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在数据采集方面，评价小组项目负责人、财务人员进行访谈沟通，全面了解项目实施的目的、预算安排、实施内容、组织管理、实施结果等方面的内容；全面收集项目决策过程、资金使用管理、制度建设与执行情况、质量管理、项目建设及验收等相关资料，完成绩效评价内容所需的印证资料整理，所有数据经核查后统计汇总。</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经调研了解，该项目主要受益群体包括招聘单位。我们根据绩效评价目标和绩效指标体系，设计满意度调查问卷进行问卷调查，其中招聘单位受益对象共选取样本20个，共发放问卷20份，最终收回20份。</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3.分析评价</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2024年3月21日-3月31日，评价小组按照绩效评价的原则和规范，对取得的资料进行审查核实，对采集的数据进行分析，按照绩效评价指标评分表逐项进行打分、分析、汇总各方评价结果。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4.撰写与提交评价报告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2024年4月1日-4月30日，评价小组撰写绩效评价报告，按照新疆维吾尔自治区财政绩效管理信息系统绩效评价模块中统一格式和文本框架撰写绩效评价报告并提交审核。</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5.问题整改</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审核通过后，由评价小组将报告推送至项目实施人员，由项目实施人员根据报告评价结论、存在的问题以及改进建议落实问题整改，并形成整改报告，由评价小组负责监督和核查整改落实情况，确保绩效评价落到实处。</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6.档案整理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建立和落实档案管理制度，将项目相关资料存档，包括但不限于：评价项目基本情况和相关文件、评价实施方案、项目支付资料等相关档案。</w:t>
      </w:r>
    </w:p>
    <w:p w14:paraId="21F36A58">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rPr>
        <w:t>三、综合评价情况及评价结论</w:t>
      </w:r>
    </w:p>
    <w:p w14:paraId="77347442">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（一）综合评价情况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评价，本项目较大程度达成年初设立的绩效目标，在实施过程中取得了良好的成效，具体表现在：通过项目的实施，按时、及时完成了事业单位公开招聘3次，笔试人数24950人，面试人数2768人等产出目标，发挥了事业单位公开招聘工作效益，解决了昌吉州事业单位用人需求，确保找单位单位满意度达90.00%以上，提高全州事业单位人才层次梯次发展，达到用人单位、社会、考生“三满意”。但在实施过程中也存在一些不足：招聘工作开展较晚，影响经费的拨付。</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（三）评价结论</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此次绩效评价通过绩效评价小组论证的评价指标体系及评分标准，采用因素分析法和比较法对本项目绩效进行客观评价，本项目共设置三级指标数量20个，实现三级指标数量19个，总体完成率为95.00%。最终评分结果：总分为99.50分，绩效评级为“优”。综合评价结论如下：</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项目决策类指标共设置6个，满分指标6个，得分率100.00%；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过程管理类指标共设置5个，满分指标4个，得分率97.37%；</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项目产出类指标共设置7个，满分指标7个，得分率100.00%；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项目效益类指标共设置2个，满分指标2个，得分率100.00%。</w:t>
      </w:r>
    </w:p>
    <w:p w14:paraId="10986F38">
      <w:pPr>
        <w:spacing w:line="540" w:lineRule="exact"/>
        <w:ind w:firstLine="640"/>
        <w:rPr>
          <w:rStyle w:val="18"/>
          <w:rFonts w:ascii="黑体" w:hAnsi="黑体" w:eastAsia="黑体"/>
        </w:rPr>
      </w:pPr>
      <w:r>
        <w:rPr>
          <w:rStyle w:val="18"/>
          <w:rFonts w:hint="eastAsia" w:ascii="黑体" w:hAnsi="黑体" w:eastAsia="黑体"/>
          <w:b w:val="0"/>
          <w:spacing w:val="-4"/>
          <w:sz w:val="32"/>
          <w:szCs w:val="32"/>
        </w:rPr>
        <w:t>四、绩效评价指标分析</w:t>
      </w:r>
      <w:r>
        <w:rPr>
          <w:rStyle w:val="18"/>
          <w:rFonts w:hint="eastAsia" w:ascii="黑体" w:hAnsi="黑体" w:eastAsia="黑体"/>
        </w:rPr>
        <w:t xml:space="preserve"> </w:t>
      </w:r>
    </w:p>
    <w:p w14:paraId="28DAFDB5">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（一）</w:t>
      </w:r>
      <w:r>
        <w:rPr>
          <w:rStyle w:val="18"/>
          <w:rFonts w:hint="eastAsia" w:ascii="楷体" w:hAnsi="楷体" w:eastAsia="楷体"/>
          <w:spacing w:val="-4"/>
          <w:sz w:val="32"/>
          <w:szCs w:val="32"/>
        </w:rPr>
        <w:t>项目决策情况</w:t>
      </w:r>
    </w:p>
    <w:p w14:paraId="79312E99">
      <w:pPr>
        <w:tabs>
          <w:tab w:val="center" w:pos="4295"/>
        </w:tabs>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项目决策类指标由3个二级指标和6个三级指标构成，权重分21.00分，实际得分21.00分。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1.项目立项情况分析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（1）立项依据充分性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立项符合（1）自治区纪检委、组织部、人社厅、监察厅《关于印发〈自治区事业单位面向社会公开招聘工作人员办法〉的通知》(新人社发〔2013〕141号)第七条：“各地（州、市）事业单位人事综合管理部门负责自治区公开招聘政策在本地区事业单位的贯彻执行，并负责地地（州、市）本级所属县（市、区）事业单位公开招聘工作的日常管理、指导和组织实施”；（2）自治区人社厅、财政厅《关于明确自治区人事考试考务费支出具体标准的通知》（新人社发〔2018〕51号）：“人事考试考务支出标准坚持依法合规、集体决策、从严控制的原则，同时严格按照财务管理和自治区津补贴管理规定支出”。符合行业发展规划和政策要求；本项目立项符合《昌吉州人社服务中心单位配置内设机构和人员编制规定》中职责范围中的“组织实施事业单位招聘、专业技术人员资格类考试”，属于我单位履职所需；根据《财政资金直接支付申请书》，本项目资金性质为“公共财政预算”功能分类为“[2080199]其他人力资源和社会保障管理事务支出”，经济分类为“[30201]办公费”、“[30226]劳务费”属于公共财政支持范围，符合中央、地方事权支出责任划分原则；经检查我单位财政应用平台指标，本项目不存在重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综上所述，本指标满分为5.00分，根据评分标准得5.00分，本项目立项依据充分。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（2）立项程序规范性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为非基础建设类项目，不涉及发改立项批复流程，由我单位自行编制项目实施方案和项目预算申请计划，经过与党委会研究确定最终预算方案。经查看，该项目申请设立过程产生的相关文件，符合相关要求。</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为非基础建设类项目，属于专项资金安排项目，不涉及事前绩效评估、可行性研究以及风险评估，由我单位严格按照（1）自治区纪检委、组织部、人社厅、监察厅《关于印发〈自治区事业单位面向社会公开招聘工作人员办法〉的通知》(新人社发〔2013〕141号)第七条：“各地（州、市）事业单位人事综合管理部门负责自治区公开招聘政策在本地区事业单位的贯彻执行，并负责地地（州、市）本级所属县（市、区）事业单位公开招聘工作的日常管理、指导和组织实施”；（2）自治区人社厅、财政厅《关于明确自治区人事考试考务费支出具体标准的通知》（新人社发〔2018〕51号）：“人事考试考务支出标准坚持依法合规、集体决策、从严控制的原则，同时严格按照财务管理和自治区津补贴管理规定支出”。文件要求实施项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综上所述，本指标满分为3.00分，根据评分标准得3.00分，本项目立项程序规范。</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2.绩效目标情况分析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（1）绩效目标合理性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已设置年度绩效目标，具体内容为“为加强自治区人事考试考务费支出规范化管理，根据自治区纪检委、组织部、人社厅、监察厅《关于印发〈自治区事业单位面向社会公开招聘工作人员办法〉的通知》，通过组织实施公开招聘工作，解决事业单位用人需求，提高全州事业单位人才层次梯次发展，达到用人单位、社会、考生‘三满意’”；本项目实际工作内容为：为做好自治州2023年事业单位人员补充工作，满足用人单位的实际需求，按照申报计划、网上报名、笔试、体能测评、资格审查、面试、体检、考察、公示等程序，为全州事业单位及时补充人才，达到应聘人员、招聘单位和社会“三满意”的效果。绩效目标与实际工作内容一致，两者具有相关性;本项目按照绩效目标完成了数量指标、质量指标、时效指标、成本指标，长期发挥引进博士后的社会价值，年度绩效目标完成，预期产出效益和效果符合正常的业绩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综上所述，本指标满分为4.00分，根据评分标准得4.00分，本项目绩效目标设置合理。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（2）绩效指标明确性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检查我单位年初设置的《项目支出绩效目标表》，得出如下结论：本项目已将年度绩效目标进行细化为绩效指标体系，共设置一级指标4个，二级指标6个，三级指标9个，定量指标8个，定性指标1个，指标量化率为88.89%，量化率达70.00%以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综上所述，本指标满分为3.00分，根据评分标准得3.00分，本项目所设置绩效指标明确。</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3.资金投入情况分析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（1）预算编制科学性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本项目预算编制通过相关文件规定得出，即预算编制较科学且经过论证；</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预算申请内容为事业单位公开招聘工作经费197.47万元，项目实际内容为事业单位公开招聘工作经费，预算申请与《事业单位公开招聘工作经费项目实施方案》中涉及的项目内容匹配；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申请资金197.47万元，我单位在预算申请中严格按照单位标准和数量进行核算，其中：笔试工作经费100.00万元，面试工作经费97.47万元。本项目预算额度测算依据充分，严格按照标准编制，预算确定资金量与实际工作任务相匹配；</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综上所述，本指标满分为4.00分，根据评分标准4.00分，本项目预算编制科学。</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（2）资金分配合理性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分配资金以《关于申请事业单位公开招聘工作经费项目资金的请示》和《事业单位公开招聘工作经费项目实施方案》为依据进行资金分配，预算资金分配依据充分。根据昌州党财【2023】001号文件显示，本项目实际到位资金197.47万元，实际分配资金与我单位提交申请的资金额度一致，资金分配额度合理，与我单位实际需求相适应。</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综上所述，本指标满分为2.00分，根据评分标准得2.00分，本项目资金分配合理。</w:t>
      </w:r>
      <w:r>
        <w:rPr>
          <w:rStyle w:val="18"/>
          <w:rFonts w:hint="eastAsia" w:ascii="楷体" w:hAnsi="楷体" w:eastAsia="楷体"/>
          <w:b w:val="0"/>
          <w:bCs w:val="0"/>
          <w:spacing w:val="-4"/>
          <w:sz w:val="32"/>
          <w:szCs w:val="32"/>
        </w:rPr>
        <w:tab/>
      </w:r>
    </w:p>
    <w:p w14:paraId="21F06858">
      <w:pPr>
        <w:spacing w:line="540" w:lineRule="exact"/>
        <w:ind w:firstLine="567" w:firstLineChars="181"/>
        <w:rPr>
          <w:rStyle w:val="18"/>
          <w:rFonts w:ascii="楷体" w:hAnsi="楷体" w:eastAsia="楷体"/>
          <w:spacing w:val="-4"/>
          <w:sz w:val="32"/>
          <w:szCs w:val="32"/>
        </w:rPr>
      </w:pPr>
      <w:r>
        <w:rPr>
          <w:rFonts w:hint="eastAsia" w:ascii="楷体" w:hAnsi="楷体" w:eastAsia="楷体"/>
          <w:b/>
          <w:spacing w:val="-4"/>
          <w:sz w:val="32"/>
          <w:szCs w:val="32"/>
        </w:rPr>
        <w:t>（二）</w:t>
      </w:r>
      <w:r>
        <w:rPr>
          <w:rStyle w:val="18"/>
          <w:rFonts w:hint="eastAsia" w:ascii="楷体" w:hAnsi="楷体" w:eastAsia="楷体"/>
          <w:spacing w:val="-4"/>
          <w:sz w:val="32"/>
          <w:szCs w:val="32"/>
        </w:rPr>
        <w:t>项目过程情况</w:t>
      </w:r>
    </w:p>
    <w:p w14:paraId="5C138047">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项目过程管理类指标由2个二级指标和5个三级指标构成，权重分19.00分，实际得分18.50分。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1.资金管理情况分析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（1）资金到位率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预算资金为197.47万元，其中：本级财政安排资金197.47万元，其他资金0.00万元，实际到位资金197.47万元，资金到位率=（实际到位资金/预算资金）×100.00%=（197.47/197.47）*100.00%=100.00%。得分=资金到位率*分值=100.00%*4=4.00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综上所述，本指标满分为4.00分，根据评分标准得4.00分，本项目资金分配合理。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（2）预算执行率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本项目实际支出资金197.47万元，预算执行率=（实际支出资金/实际到位资金）×100.00%=（177.72/197.47）*100.00%=90.00%。得分=预算执行率*分值=90.00%*5=4.50分。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综上所述，本指标满分为5.00分，根据评分标准得4.50分，本项目资金分配合理。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（3）资金使用合规性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通过检查本项目签订的合同、资金申请文件、发票等财务付款凭证，得出本项目资金支出符合国家财经法规、《政府会计制度》以及《昌吉州人力资源和社会保障服务中心资金管理办法》《昌吉州人力资源和社会保障服务中心专项资金管理办法》，资金的拨付有完整的审批程序和手续，资金实际使用方向与预算批复用途一致，不存在截留、挤占、挪用、虚列支出的情况。</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综上所述，本指标满分为4.00分，根据评分标准得4.00分，资金支出符合我单位财务管理制度规定。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2.组织实施情况分析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（1）管理制度健全性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我单位已制定《昌吉州人力资源和社会保障服务中心资金管理办法》《昌吉州人力资源和社会保障服务中心收支业务管理制度》《昌吉州人力资源和社会保障服务中心政府采购业务管理制度》《昌吉州人力资源和社会保障服务中心合同管理制度》，上述已建立的制度均符合行政事业单位内控管理要求，财务和业务管理制度合法、合规、完整，本项目执行符合上述制度规定。</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综上所述，本指标满分为2.00分，根据评分标准得2.00分，项目制度建设健全。</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（2）制度执行有效性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经对比分析本项目实际执行过程资料和已建立的项目管理制度和财务管理制度，得出本项目严格按照本单位已建立制度执行。项目资金支出严格按照自治区、地区、市以及本单位资金管理办法执行，项目启动实施后，为了加快本项目的实施，成立了事业单位公开招聘工作经费项目工作领导小组，由中心书记艾合买提江·阿布力孜任组长，负责项目的组织工作；许敏杰任副组长，负责项目的实施工作；组员包括：王俊瑛主要负责项目监督管理、验收以及资金核拨等工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综上所述，本指标满分为4.00分，根据评分标准得4.00分，本项目所建立制度执行有效。</w:t>
      </w:r>
    </w:p>
    <w:p w14:paraId="7CACF639">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（三）</w:t>
      </w:r>
      <w:r>
        <w:rPr>
          <w:rStyle w:val="18"/>
          <w:rFonts w:hint="eastAsia" w:ascii="楷体" w:hAnsi="楷体" w:eastAsia="楷体"/>
          <w:spacing w:val="-4"/>
          <w:sz w:val="32"/>
          <w:szCs w:val="32"/>
        </w:rPr>
        <w:t>项目产出情况</w:t>
      </w:r>
    </w:p>
    <w:p w14:paraId="45F86B96">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项目产出类指标由4个二级指标7个三级指标构成，权重分为30.00分，本项目实际得分30.00分，得分率为100.00%。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 数量指标完成情况分析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“组织事业单位公开招聘次数”指标，预期指标值为“大于等于1次”，实际完成指标值为“3次”，指标完成率为100.00%。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“笔试人数”指标，预期指标值为“大于等于4000人”，实际完成指标值为“24950人”，指标完成率为100.00%。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“面试人数”指标，预期指标值为“大于等于1700人”，实际完成指标值为“2768人”，指标完成率为100.00%。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2.质量指标完成情况分析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“事业单位公开招聘完成率”指标，预期指标值“大于等于95.00%”，实际完成指标值为“100.00%”，指标完成率为100.00%。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3.时效指标完成情况分析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“事业单位公开招聘及时率”指标，预期指标值“大于等于95.00%”，实际完成指标值为“100.00%”，指标完成率为100.00%。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综上所述，本指标满分为5.00分，根据评分标准得5.00分。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4.成本指标完成情况分析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“笔试工作经费”指标，预期指标值为“小于等于100.00万元”，实际完成指标值为“97.72万元”，指标完成率为100.00%。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综上所述，本指标满分为2.50分，根据评分标准得2.50分。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“面试工作经费”指标，预期指标值为“小于等于97.47万元”，实际完成指标值为“80.00万元”，指标完成率为100.00%。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综上所述，本指标满分为2.50分，根据评分标准得2.50分。</w:t>
      </w:r>
    </w:p>
    <w:p w14:paraId="4ED05A1E">
      <w:pPr>
        <w:spacing w:line="540" w:lineRule="exact"/>
        <w:ind w:firstLine="567" w:firstLineChars="181"/>
        <w:rPr>
          <w:rFonts w:ascii="楷体" w:hAnsi="楷体" w:eastAsia="楷体"/>
          <w:b/>
          <w:spacing w:val="-4"/>
          <w:sz w:val="32"/>
          <w:szCs w:val="32"/>
        </w:rPr>
      </w:pPr>
      <w:r>
        <w:rPr>
          <w:rFonts w:hint="eastAsia" w:ascii="楷体" w:hAnsi="楷体" w:eastAsia="楷体"/>
          <w:b/>
          <w:spacing w:val="-4"/>
          <w:sz w:val="32"/>
          <w:szCs w:val="32"/>
        </w:rPr>
        <w:t>（四）</w:t>
      </w:r>
      <w:r>
        <w:rPr>
          <w:rStyle w:val="18"/>
          <w:rFonts w:hint="eastAsia" w:ascii="楷体" w:hAnsi="楷体" w:eastAsia="楷体"/>
          <w:spacing w:val="-4"/>
          <w:sz w:val="32"/>
          <w:szCs w:val="32"/>
        </w:rPr>
        <w:t>项目效益情况</w:t>
      </w:r>
    </w:p>
    <w:p w14:paraId="0F8F5F97">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项目效益类指标由2个二级指标和2个三级指标构成，权重分为30.00分，本项目实际得分30.00分。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1.经济效益完成情况分析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本项目无该项指标。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2.社会效益完成情况分析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“解决用人单位用人需求”指标，预期指标值为“解决”，实际完成指标值为“好”，指标完成率为100.00%。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综上所述，本指标满分为20.00分，根据评分标准得20.00分。</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3.生态效益完成情况分析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本项目无该项指标。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4.满意度完成情况分析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“招聘单位满意度”指标，预期指标值为“大于等于90.00%”，，实际完成指标值为“90.00%”，指标完成率为100.00%。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综上所述，本指标满分为10.00分，根据评分标准得10.00分。</w:t>
      </w:r>
    </w:p>
    <w:p w14:paraId="54EF91C2">
      <w:pPr>
        <w:spacing w:line="540" w:lineRule="exact"/>
        <w:ind w:firstLine="567"/>
        <w:rPr>
          <w:rStyle w:val="18"/>
          <w:rFonts w:ascii="楷体" w:hAnsi="楷体" w:eastAsia="楷体"/>
          <w:spacing w:val="-4"/>
          <w:sz w:val="32"/>
          <w:szCs w:val="32"/>
        </w:rPr>
      </w:pPr>
    </w:p>
    <w:p w14:paraId="3F2F20D2">
      <w:pPr>
        <w:numPr>
          <w:ilvl w:val="0"/>
          <w:numId w:val="1"/>
        </w:num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lang w:val="en-US" w:eastAsia="zh-CN"/>
        </w:rPr>
        <w:t>预算执行进度与绩效指标偏差</w:t>
      </w:r>
    </w:p>
    <w:p w14:paraId="6E3FC33E">
      <w:pPr>
        <w:spacing w:line="540" w:lineRule="exact"/>
        <w:ind w:firstLine="567"/>
        <w:rPr>
          <w:rStyle w:val="18"/>
          <w:rFonts w:hint="default" w:ascii="黑体" w:hAnsi="黑体" w:eastAsia="黑体"/>
          <w:b w:val="0"/>
          <w:spacing w:val="-4"/>
          <w:sz w:val="32"/>
          <w:szCs w:val="32"/>
          <w:lang w:val="en-US" w:eastAsia="zh-CN"/>
        </w:rPr>
      </w:pP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本项目年初预算资金总额为197.47万元，全年预算数为197.47万元，全年执行数为177.72万元，预算执行率为100.00%。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本项目共设置三级指标数量20个，满分指标数量19个，扣分指标数量1个，经分析计算所有三级指标完成率得出，本项目总体完成率为99.50%。</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综上所述本项目预算执行进度与总体完成进度之间的偏差为0.50%。主要偏差原因是事业单位公开招聘工作产生的费用是与实际参加招聘人员笔试、面试的人数相关。人数多，费用大，人数少，费用相对少。</w:t>
      </w:r>
    </w:p>
    <w:p w14:paraId="4637BE98">
      <w:pPr>
        <w:numPr>
          <w:ilvl w:val="0"/>
          <w:numId w:val="1"/>
        </w:numPr>
        <w:spacing w:line="540" w:lineRule="exact"/>
        <w:ind w:firstLine="640"/>
        <w:rPr>
          <w:rStyle w:val="18"/>
          <w:rFonts w:hint="eastAsia" w:ascii="黑体" w:hAnsi="黑体" w:eastAsia="黑体"/>
          <w:b w:val="0"/>
          <w:spacing w:val="-4"/>
          <w:sz w:val="32"/>
          <w:szCs w:val="32"/>
        </w:rPr>
      </w:pPr>
      <w:r>
        <w:rPr>
          <w:rStyle w:val="18"/>
          <w:rFonts w:hint="eastAsia" w:ascii="黑体" w:hAnsi="黑体" w:eastAsia="黑体"/>
          <w:b w:val="0"/>
          <w:spacing w:val="-4"/>
          <w:sz w:val="32"/>
          <w:szCs w:val="32"/>
        </w:rPr>
        <w:t>主要经验及做法、存在的问题及原因分析</w:t>
      </w:r>
    </w:p>
    <w:p w14:paraId="1AB9F8C3">
      <w:pPr>
        <w:spacing w:line="540" w:lineRule="exact"/>
        <w:ind w:firstLine="567"/>
        <w:rPr>
          <w:rFonts w:ascii="仿宋_GB2312" w:eastAsia="仿宋_GB2312"/>
          <w:spacing w:val="-4"/>
          <w:sz w:val="32"/>
          <w:szCs w:val="32"/>
        </w:rPr>
      </w:pPr>
      <w:r>
        <w:rPr>
          <w:rStyle w:val="18"/>
          <w:rFonts w:hint="eastAsia" w:ascii="楷体" w:hAnsi="楷体" w:eastAsia="楷体"/>
          <w:b w:val="0"/>
          <w:bCs w:val="0"/>
          <w:spacing w:val="-4"/>
          <w:sz w:val="32"/>
          <w:szCs w:val="32"/>
        </w:rPr>
        <w:t>（一）主要经验及做法</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昌吉州人力资源和社会保障服务中心建立健全了预算管理规章制度，严格按预算编制的原则和要求做好当年预算编制工作，在预算绩效管理工作中，做到合理安排各项资金，重点保障基本支出，按轻重缓急顺序原则，切实优化资源配置，提高了资金使用的效率和效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1.聚焦重点任务，推动项目工作落地落实</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为有效推进项目工作开展，提高财政资金使用效益，项目领导小组进一步强化项目意识，对照计划全面梳理重点任务，仔细谋划、紧抓落实，理顺内部分工和工作流程，明确责任和时间节点，一项一项抓好具体落实，确保了项目按时保质完成，保障了项目效益发挥。</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2.坚持问题导向，加强执行监控，提高资金效益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把专项资金的执行、拨付、管理作为监督的重点；在监督环节上，实行关口前移，从事后监督管理转向事前审核，事中监督和事后检查稽核相结合的监督制度上来，形成多环节全过程的监督管理格局，尽量早发现问题，早解决问题，提高专项资金使用效益。</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（二）存在问题及原因分析</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1.绩效预算认识不够充分，绩效理念有待进一步强化</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单位对全面实施绩效管理认识不够，绩效水平不高，单位内部绩效管理工作力量薄弱，多数以财务人员牵头开展绩效管理，工作推动机制不全，业务人员业务能力和素质还有待进一步提升。</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2.绩效档案归档工作有待提高</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单位人员对档案管理工作缺少针对性和目的性，对绩效档案工作重要性的认识不足，缺乏熟练的业务知识，使绩效档案管理与实际业务存在一定偏差，未发挥其综合价值。</w:t>
      </w:r>
    </w:p>
    <w:p w14:paraId="235DD151">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七</w:t>
      </w:r>
      <w:r>
        <w:rPr>
          <w:rStyle w:val="18"/>
          <w:rFonts w:hint="eastAsia" w:ascii="黑体" w:hAnsi="黑体" w:eastAsia="黑体"/>
          <w:b w:val="0"/>
          <w:spacing w:val="-4"/>
          <w:sz w:val="32"/>
          <w:szCs w:val="32"/>
        </w:rPr>
        <w:t>、有关建议</w:t>
      </w:r>
    </w:p>
    <w:p w14:paraId="5019D998">
      <w:pPr>
        <w:spacing w:line="540" w:lineRule="exact"/>
        <w:ind w:firstLine="567"/>
        <w:rPr>
          <w:rStyle w:val="18"/>
          <w:rFonts w:ascii="楷体" w:hAnsi="楷体" w:eastAsia="楷体"/>
          <w:spacing w:val="-4"/>
          <w:sz w:val="32"/>
          <w:szCs w:val="32"/>
        </w:rPr>
      </w:pPr>
      <w:r>
        <w:rPr>
          <w:rStyle w:val="18"/>
          <w:rFonts w:hint="eastAsia" w:ascii="楷体" w:hAnsi="楷体" w:eastAsia="楷体"/>
          <w:b w:val="0"/>
          <w:bCs w:val="0"/>
          <w:spacing w:val="-4"/>
          <w:sz w:val="32"/>
          <w:szCs w:val="32"/>
        </w:rPr>
        <w:t xml:space="preserve"> 1.加强培训，提高相关人员工作水平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对单位财务人员、业务科室人员进行集中培训，进一步树牢绩效观念，提高本单位工作人员的绩效管理能力和工作水平，为预算绩效管理相关工作的顺利开展提供保障。</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2.扎实推进档案规范化建设，提升档案管理水平</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完善项目评价资料。项目启动时同步做好档案的归纳与整理，及时整理、收集、汇总，健全档案资料</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3. 高度重视，加强领导</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项目绩效领导小组对绩效评价工作进行指导、监督、检查，确保项目绩效评价反映项目完成真实情况。严格执行项目绩效评价工作要求，切实提高项目绩效报告的客观性和公正性。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继续加强《预算法》及《预算法实施条例》的宣传、学习贯彻力度。目前我镇财政管理中的问题，很多与没有认真学习贯彻《预算法》有关规定。科学合理编制预算，要做好编制前的调查研究和分析工作，进一步提高预算的准确性和科学性，减少预算编制的随意性。在对预算年度的经济状况进行全面科学分析的基础上，按照“ 量入为出、收支平衡、统筹兼顾，确保重点 ” 的原则，合理安排预算收支，将预算资金尽量落实到具体项目，争取做到每个支出项目都能在预算中有所反映，使预算充分反映以政府为主体的资金收支活动全貌，保证预算的可执行性。</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 xml:space="preserve">加大预算绩效管理培训力度，贯彻落实相关办法及制度。采取集中学习、讲座、专题会议等方式，加大对参与绩效管理工作的人员培训力度，进一步统一认识，充实业务知识。以提高工作人员素质，以达到预算绩效管理标准化、常态化的要求，最终实现提高绩效管理工作效率及质量的目标。 </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财政和项目实施单位严格实行“三专”管理，即设专户、建专帐、定专人。同时，资金拨付除坚持按项目计划、工程进度和质量分阶段验收拨款外，还坚持部门联审制，项目单位先做事、后报帐，从而确保专项资金专款专用，有效地防止了截留、挤占和挪用。</w:t>
      </w:r>
    </w:p>
    <w:p w14:paraId="17454242">
      <w:pPr>
        <w:spacing w:line="540" w:lineRule="exact"/>
        <w:ind w:firstLine="640"/>
        <w:rPr>
          <w:rStyle w:val="18"/>
          <w:rFonts w:ascii="黑体" w:hAnsi="黑体" w:eastAsia="黑体"/>
          <w:b w:val="0"/>
          <w:spacing w:val="-4"/>
          <w:sz w:val="32"/>
          <w:szCs w:val="32"/>
        </w:rPr>
      </w:pPr>
      <w:r>
        <w:rPr>
          <w:rStyle w:val="18"/>
          <w:rFonts w:hint="eastAsia" w:ascii="黑体" w:hAnsi="黑体" w:eastAsia="黑体"/>
          <w:b w:val="0"/>
          <w:spacing w:val="-4"/>
          <w:sz w:val="32"/>
          <w:szCs w:val="32"/>
          <w:lang w:val="en-US" w:eastAsia="zh-CN"/>
        </w:rPr>
        <w:t>八</w:t>
      </w:r>
      <w:r>
        <w:rPr>
          <w:rStyle w:val="18"/>
          <w:rFonts w:hint="eastAsia" w:ascii="黑体" w:hAnsi="黑体" w:eastAsia="黑体"/>
          <w:b w:val="0"/>
          <w:spacing w:val="-4"/>
          <w:sz w:val="32"/>
          <w:szCs w:val="32"/>
        </w:rPr>
        <w:t>、其他需要说明的问题</w:t>
      </w:r>
    </w:p>
    <w:p w14:paraId="560DB407">
      <w:pPr>
        <w:spacing w:line="540" w:lineRule="exact"/>
        <w:ind w:firstLine="567"/>
        <w:rPr>
          <w:rStyle w:val="18"/>
          <w:rFonts w:ascii="楷体" w:hAnsi="楷体" w:eastAsia="楷体"/>
          <w:b w:val="0"/>
          <w:bCs w:val="0"/>
          <w:spacing w:val="-4"/>
          <w:sz w:val="32"/>
          <w:szCs w:val="32"/>
        </w:rPr>
      </w:pPr>
      <w:r>
        <w:rPr>
          <w:rStyle w:val="18"/>
          <w:rFonts w:hint="eastAsia" w:ascii="楷体" w:hAnsi="楷体" w:eastAsia="楷体"/>
          <w:b w:val="0"/>
          <w:bCs w:val="0"/>
          <w:spacing w:val="-4"/>
          <w:sz w:val="32"/>
          <w:szCs w:val="32"/>
        </w:rPr>
        <w:t>（一）本项目部分间接产生的效果无法准确在短期内衡量，因此很难认定项目产生的全部效果。通过指标来反映绩效，指标的科学性和全面性需要不断地完善和研究。</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（二）评价结果作为安排政府预算、完善政策和改进管理的重要依据。原则上，对评价等级为优、良的，根据情况予以支持；对评价等级为中、差的，要完善政策、改进管理，根据情况核减预算。</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（三）评价结果分别编入政府决算和部门预算，报送本级人民代表大会常务委员会，并依法予以公开。</w:t>
      </w:r>
      <w:r>
        <w:rPr>
          <w:rStyle w:val="18"/>
          <w:rFonts w:hint="eastAsia" w:ascii="楷体" w:hAnsi="楷体" w:eastAsia="楷体"/>
          <w:b w:val="0"/>
          <w:bCs w:val="0"/>
          <w:spacing w:val="-4"/>
          <w:sz w:val="32"/>
          <w:szCs w:val="32"/>
        </w:rPr>
        <w:cr/>
      </w:r>
      <w:r>
        <w:rPr>
          <w:rStyle w:val="18"/>
          <w:rFonts w:hint="eastAsia" w:ascii="楷体" w:hAnsi="楷体" w:eastAsia="楷体"/>
          <w:b w:val="0"/>
          <w:bCs w:val="0"/>
          <w:spacing w:val="-4"/>
          <w:sz w:val="32"/>
          <w:szCs w:val="32"/>
        </w:rPr>
        <w:br w:type="textWrapping"/>
      </w:r>
      <w:r>
        <w:rPr>
          <w:rStyle w:val="18"/>
          <w:rFonts w:hint="eastAsia" w:ascii="楷体" w:hAnsi="楷体" w:eastAsia="楷体"/>
          <w:b w:val="0"/>
          <w:bCs w:val="0"/>
          <w:spacing w:val="-4"/>
          <w:sz w:val="32"/>
          <w:szCs w:val="32"/>
        </w:rPr>
        <w:t>（四）我单位对上述项目支出绩效评价报告内反映内容的真实性、完整性负责，接受上级部门及社会公众监督。</w:t>
      </w:r>
    </w:p>
    <w:p w14:paraId="71F63F9F">
      <w:pPr>
        <w:spacing w:line="540" w:lineRule="exact"/>
        <w:ind w:firstLine="567"/>
        <w:rPr>
          <w:rStyle w:val="18"/>
          <w:rFonts w:ascii="仿宋" w:hAnsi="仿宋" w:eastAsia="仿宋"/>
          <w:b w:val="0"/>
          <w:spacing w:val="-4"/>
          <w:sz w:val="32"/>
          <w:szCs w:val="32"/>
        </w:rPr>
      </w:pPr>
    </w:p>
    <w:p w14:paraId="17499832">
      <w:pPr>
        <w:spacing w:line="540" w:lineRule="exact"/>
        <w:ind w:firstLine="567"/>
        <w:rPr>
          <w:rStyle w:val="18"/>
          <w:rFonts w:ascii="仿宋" w:hAnsi="仿宋" w:eastAsia="仿宋"/>
          <w:b w:val="0"/>
          <w:spacing w:val="-4"/>
          <w:sz w:val="32"/>
          <w:szCs w:val="32"/>
        </w:rPr>
      </w:pPr>
    </w:p>
    <w:p w14:paraId="55165B56">
      <w:pPr>
        <w:spacing w:line="540" w:lineRule="exact"/>
        <w:ind w:firstLine="567"/>
        <w:rPr>
          <w:rStyle w:val="18"/>
          <w:rFonts w:ascii="仿宋" w:hAnsi="仿宋" w:eastAsia="仿宋"/>
          <w:b w:val="0"/>
          <w:spacing w:val="-4"/>
          <w:sz w:val="32"/>
          <w:szCs w:val="32"/>
        </w:rPr>
      </w:pPr>
    </w:p>
    <w:p w14:paraId="363DB9DC">
      <w:pPr>
        <w:spacing w:line="540" w:lineRule="exact"/>
        <w:ind w:firstLine="567"/>
        <w:rPr>
          <w:rStyle w:val="18"/>
          <w:rFonts w:ascii="仿宋" w:hAnsi="仿宋" w:eastAsia="仿宋"/>
          <w:b w:val="0"/>
          <w:spacing w:val="-4"/>
          <w:sz w:val="32"/>
          <w:szCs w:val="32"/>
        </w:rPr>
      </w:pPr>
    </w:p>
    <w:p w14:paraId="0675DCA3">
      <w:pPr>
        <w:spacing w:line="540" w:lineRule="exact"/>
        <w:ind w:firstLine="567"/>
        <w:rPr>
          <w:rStyle w:val="18"/>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5F9B04A4">
        <w:pPr>
          <w:pStyle w:val="12"/>
          <w:jc w:val="center"/>
        </w:pPr>
        <w:r>
          <w:fldChar w:fldCharType="begin"/>
        </w:r>
        <w:r>
          <w:instrText xml:space="preserve">PAGE   \* MERGEFORMAT</w:instrText>
        </w:r>
        <w:r>
          <w:fldChar w:fldCharType="separate"/>
        </w:r>
        <w:r>
          <w:rPr>
            <w:lang w:val="zh-CN"/>
          </w:rPr>
          <w:t>2</w:t>
        </w:r>
        <w:r>
          <w:fldChar w:fldCharType="end"/>
        </w:r>
      </w:p>
    </w:sdtContent>
  </w:sdt>
  <w:p w14:paraId="539A4DA5">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A218F"/>
    <w:multiLevelType w:val="singleLevel"/>
    <w:tmpl w:val="3FEA218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2RlZTc4MzFlYzYzZjZmMTg4MDMwODUwYTE2N2UifQ=="/>
  </w:docVars>
  <w:rsids>
    <w:rsidRoot w:val="00CA6457"/>
    <w:rsid w:val="00056465"/>
    <w:rsid w:val="00102DFF"/>
    <w:rsid w:val="0012073C"/>
    <w:rsid w:val="00121AE4"/>
    <w:rsid w:val="00146AAD"/>
    <w:rsid w:val="00151FA7"/>
    <w:rsid w:val="001B3A40"/>
    <w:rsid w:val="00291BC0"/>
    <w:rsid w:val="00311DBE"/>
    <w:rsid w:val="004366A8"/>
    <w:rsid w:val="00502BA7"/>
    <w:rsid w:val="005162F1"/>
    <w:rsid w:val="00535153"/>
    <w:rsid w:val="00554F82"/>
    <w:rsid w:val="0056390D"/>
    <w:rsid w:val="005719B0"/>
    <w:rsid w:val="005D10D6"/>
    <w:rsid w:val="00855E3A"/>
    <w:rsid w:val="0091457F"/>
    <w:rsid w:val="00922CB9"/>
    <w:rsid w:val="009A0637"/>
    <w:rsid w:val="009E5CD9"/>
    <w:rsid w:val="00A26421"/>
    <w:rsid w:val="00A34588"/>
    <w:rsid w:val="00A4293B"/>
    <w:rsid w:val="00A67D50"/>
    <w:rsid w:val="00A8691A"/>
    <w:rsid w:val="00AC1946"/>
    <w:rsid w:val="00B40063"/>
    <w:rsid w:val="00B41F61"/>
    <w:rsid w:val="00BA46E6"/>
    <w:rsid w:val="00C56C72"/>
    <w:rsid w:val="00CA6457"/>
    <w:rsid w:val="00CE2FD9"/>
    <w:rsid w:val="00D17F2E"/>
    <w:rsid w:val="00D30354"/>
    <w:rsid w:val="00DF42A0"/>
    <w:rsid w:val="00E30E91"/>
    <w:rsid w:val="00E769FE"/>
    <w:rsid w:val="00EA2CBE"/>
    <w:rsid w:val="00F32FEE"/>
    <w:rsid w:val="00FB10BB"/>
    <w:rsid w:val="0856517C"/>
    <w:rsid w:val="0BFB189F"/>
    <w:rsid w:val="11BD75F7"/>
    <w:rsid w:val="13BE561A"/>
    <w:rsid w:val="15392994"/>
    <w:rsid w:val="18FE139B"/>
    <w:rsid w:val="3029612C"/>
    <w:rsid w:val="32A221C5"/>
    <w:rsid w:val="33F20F2A"/>
    <w:rsid w:val="34C44675"/>
    <w:rsid w:val="3B5B5607"/>
    <w:rsid w:val="3CE21B3C"/>
    <w:rsid w:val="439429C6"/>
    <w:rsid w:val="4D2606A1"/>
    <w:rsid w:val="51830480"/>
    <w:rsid w:val="53A616BE"/>
    <w:rsid w:val="54662BFB"/>
    <w:rsid w:val="62051CA5"/>
    <w:rsid w:val="6C3A69EF"/>
    <w:rsid w:val="7BDF2CF1"/>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1"/>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2"/>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3"/>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4"/>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5"/>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6"/>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7"/>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8"/>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5"/>
    <w:semiHidden/>
    <w:unhideWhenUsed/>
    <w:qFormat/>
    <w:uiPriority w:val="99"/>
    <w:rPr>
      <w:sz w:val="18"/>
      <w:szCs w:val="18"/>
    </w:rPr>
  </w:style>
  <w:style w:type="paragraph" w:styleId="12">
    <w:name w:val="footer"/>
    <w:basedOn w:val="1"/>
    <w:link w:val="44"/>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3"/>
    <w:autoRedefine/>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0"/>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29"/>
    <w:qFormat/>
    <w:uiPriority w:val="10"/>
    <w:pPr>
      <w:widowControl/>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0"/>
    <w:rPr>
      <w:b/>
      <w:bCs/>
    </w:rPr>
  </w:style>
  <w:style w:type="character" w:styleId="19">
    <w:name w:val="Emphasis"/>
    <w:basedOn w:val="17"/>
    <w:qFormat/>
    <w:uiPriority w:val="20"/>
    <w:rPr>
      <w:rFonts w:asciiTheme="minorHAnsi" w:hAnsiTheme="minorHAnsi"/>
      <w:b/>
      <w:i/>
      <w:iCs/>
    </w:rPr>
  </w:style>
  <w:style w:type="character" w:customStyle="1" w:styleId="20">
    <w:name w:val="标题 1 Char"/>
    <w:basedOn w:val="17"/>
    <w:link w:val="2"/>
    <w:qFormat/>
    <w:uiPriority w:val="9"/>
    <w:rPr>
      <w:rFonts w:asciiTheme="majorHAnsi" w:hAnsiTheme="majorHAnsi" w:eastAsiaTheme="majorEastAsia"/>
      <w:b/>
      <w:bCs/>
      <w:kern w:val="32"/>
      <w:sz w:val="32"/>
      <w:szCs w:val="32"/>
    </w:rPr>
  </w:style>
  <w:style w:type="character" w:customStyle="1" w:styleId="21">
    <w:name w:val="标题 2 Char"/>
    <w:basedOn w:val="17"/>
    <w:link w:val="3"/>
    <w:semiHidden/>
    <w:qFormat/>
    <w:uiPriority w:val="9"/>
    <w:rPr>
      <w:rFonts w:asciiTheme="majorHAnsi" w:hAnsiTheme="majorHAnsi" w:eastAsiaTheme="majorEastAsia"/>
      <w:b/>
      <w:bCs/>
      <w:i/>
      <w:iCs/>
      <w:sz w:val="28"/>
      <w:szCs w:val="28"/>
    </w:rPr>
  </w:style>
  <w:style w:type="character" w:customStyle="1" w:styleId="22">
    <w:name w:val="标题 3 Char"/>
    <w:basedOn w:val="17"/>
    <w:link w:val="4"/>
    <w:semiHidden/>
    <w:qFormat/>
    <w:uiPriority w:val="9"/>
    <w:rPr>
      <w:rFonts w:asciiTheme="majorHAnsi" w:hAnsiTheme="majorHAnsi" w:eastAsiaTheme="majorEastAsia"/>
      <w:b/>
      <w:bCs/>
      <w:sz w:val="26"/>
      <w:szCs w:val="26"/>
    </w:rPr>
  </w:style>
  <w:style w:type="character" w:customStyle="1" w:styleId="23">
    <w:name w:val="标题 4 Char"/>
    <w:basedOn w:val="17"/>
    <w:link w:val="5"/>
    <w:semiHidden/>
    <w:qFormat/>
    <w:uiPriority w:val="9"/>
    <w:rPr>
      <w:b/>
      <w:bCs/>
      <w:sz w:val="28"/>
      <w:szCs w:val="28"/>
    </w:rPr>
  </w:style>
  <w:style w:type="character" w:customStyle="1" w:styleId="24">
    <w:name w:val="标题 5 Char"/>
    <w:basedOn w:val="17"/>
    <w:link w:val="6"/>
    <w:semiHidden/>
    <w:qFormat/>
    <w:uiPriority w:val="9"/>
    <w:rPr>
      <w:b/>
      <w:bCs/>
      <w:i/>
      <w:iCs/>
      <w:sz w:val="26"/>
      <w:szCs w:val="26"/>
    </w:rPr>
  </w:style>
  <w:style w:type="character" w:customStyle="1" w:styleId="25">
    <w:name w:val="标题 6 Char"/>
    <w:basedOn w:val="17"/>
    <w:link w:val="7"/>
    <w:semiHidden/>
    <w:qFormat/>
    <w:uiPriority w:val="9"/>
    <w:rPr>
      <w:b/>
      <w:bCs/>
    </w:rPr>
  </w:style>
  <w:style w:type="character" w:customStyle="1" w:styleId="26">
    <w:name w:val="标题 7 Char"/>
    <w:basedOn w:val="17"/>
    <w:link w:val="8"/>
    <w:semiHidden/>
    <w:qFormat/>
    <w:uiPriority w:val="9"/>
    <w:rPr>
      <w:sz w:val="24"/>
      <w:szCs w:val="24"/>
    </w:rPr>
  </w:style>
  <w:style w:type="character" w:customStyle="1" w:styleId="27">
    <w:name w:val="标题 8 Char"/>
    <w:basedOn w:val="17"/>
    <w:link w:val="9"/>
    <w:semiHidden/>
    <w:qFormat/>
    <w:uiPriority w:val="9"/>
    <w:rPr>
      <w:i/>
      <w:iCs/>
      <w:sz w:val="24"/>
      <w:szCs w:val="24"/>
    </w:rPr>
  </w:style>
  <w:style w:type="character" w:customStyle="1" w:styleId="28">
    <w:name w:val="标题 9 Char"/>
    <w:basedOn w:val="17"/>
    <w:link w:val="10"/>
    <w:semiHidden/>
    <w:qFormat/>
    <w:uiPriority w:val="9"/>
    <w:rPr>
      <w:rFonts w:asciiTheme="majorHAnsi" w:hAnsiTheme="majorHAnsi" w:eastAsiaTheme="majorEastAsia"/>
    </w:rPr>
  </w:style>
  <w:style w:type="character" w:customStyle="1" w:styleId="29">
    <w:name w:val="标题 Char"/>
    <w:basedOn w:val="17"/>
    <w:link w:val="15"/>
    <w:qFormat/>
    <w:uiPriority w:val="10"/>
    <w:rPr>
      <w:rFonts w:asciiTheme="majorHAnsi" w:hAnsiTheme="majorHAnsi" w:eastAsiaTheme="majorEastAsia"/>
      <w:b/>
      <w:bCs/>
      <w:kern w:val="28"/>
      <w:sz w:val="32"/>
      <w:szCs w:val="32"/>
    </w:rPr>
  </w:style>
  <w:style w:type="character" w:customStyle="1" w:styleId="30">
    <w:name w:val="副标题 Char"/>
    <w:basedOn w:val="17"/>
    <w:link w:val="14"/>
    <w:qFormat/>
    <w:uiPriority w:val="11"/>
    <w:rPr>
      <w:rFonts w:asciiTheme="majorHAnsi" w:hAnsiTheme="majorHAnsi" w:eastAsiaTheme="majorEastAsia"/>
      <w:sz w:val="24"/>
      <w:szCs w:val="24"/>
    </w:rPr>
  </w:style>
  <w:style w:type="paragraph" w:styleId="31">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2">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3">
    <w:name w:val="Quote"/>
    <w:basedOn w:val="1"/>
    <w:next w:val="1"/>
    <w:link w:val="34"/>
    <w:qFormat/>
    <w:uiPriority w:val="29"/>
    <w:pPr>
      <w:widowControl/>
      <w:jc w:val="left"/>
    </w:pPr>
    <w:rPr>
      <w:rFonts w:asciiTheme="minorHAnsi" w:hAnsiTheme="minorHAnsi" w:eastAsiaTheme="minorEastAsia"/>
      <w:i/>
      <w:kern w:val="0"/>
      <w:sz w:val="24"/>
    </w:rPr>
  </w:style>
  <w:style w:type="character" w:customStyle="1" w:styleId="34">
    <w:name w:val="引用 Char"/>
    <w:basedOn w:val="17"/>
    <w:link w:val="33"/>
    <w:qFormat/>
    <w:uiPriority w:val="29"/>
    <w:rPr>
      <w:i/>
      <w:sz w:val="24"/>
      <w:szCs w:val="24"/>
    </w:rPr>
  </w:style>
  <w:style w:type="paragraph" w:styleId="35">
    <w:name w:val="Intense Quote"/>
    <w:basedOn w:val="1"/>
    <w:next w:val="1"/>
    <w:link w:val="36"/>
    <w:qFormat/>
    <w:uiPriority w:val="30"/>
    <w:pPr>
      <w:widowControl/>
      <w:ind w:left="720" w:right="720"/>
      <w:jc w:val="left"/>
    </w:pPr>
    <w:rPr>
      <w:rFonts w:asciiTheme="minorHAnsi" w:hAnsiTheme="minorHAnsi" w:eastAsiaTheme="minorEastAsia"/>
      <w:b/>
      <w:i/>
      <w:kern w:val="0"/>
      <w:sz w:val="24"/>
      <w:szCs w:val="22"/>
    </w:rPr>
  </w:style>
  <w:style w:type="character" w:customStyle="1" w:styleId="36">
    <w:name w:val="明显引用 Char"/>
    <w:basedOn w:val="17"/>
    <w:link w:val="35"/>
    <w:qFormat/>
    <w:uiPriority w:val="30"/>
    <w:rPr>
      <w:b/>
      <w:i/>
      <w:sz w:val="24"/>
    </w:rPr>
  </w:style>
  <w:style w:type="character" w:customStyle="1" w:styleId="3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8">
    <w:name w:val="明显强调1"/>
    <w:basedOn w:val="17"/>
    <w:qFormat/>
    <w:uiPriority w:val="21"/>
    <w:rPr>
      <w:b/>
      <w:i/>
      <w:sz w:val="24"/>
      <w:szCs w:val="24"/>
      <w:u w:val="single"/>
    </w:rPr>
  </w:style>
  <w:style w:type="character" w:customStyle="1" w:styleId="39">
    <w:name w:val="不明显参考1"/>
    <w:basedOn w:val="17"/>
    <w:qFormat/>
    <w:uiPriority w:val="31"/>
    <w:rPr>
      <w:sz w:val="24"/>
      <w:szCs w:val="24"/>
      <w:u w:val="single"/>
    </w:rPr>
  </w:style>
  <w:style w:type="character" w:customStyle="1" w:styleId="40">
    <w:name w:val="明显参考1"/>
    <w:basedOn w:val="17"/>
    <w:qFormat/>
    <w:uiPriority w:val="32"/>
    <w:rPr>
      <w:b/>
      <w:sz w:val="24"/>
      <w:u w:val="single"/>
    </w:rPr>
  </w:style>
  <w:style w:type="character" w:customStyle="1" w:styleId="41">
    <w:name w:val="书籍标题1"/>
    <w:basedOn w:val="17"/>
    <w:qFormat/>
    <w:uiPriority w:val="33"/>
    <w:rPr>
      <w:rFonts w:asciiTheme="majorHAnsi" w:hAnsiTheme="majorHAnsi" w:eastAsiaTheme="majorEastAsia"/>
      <w:b/>
      <w:i/>
      <w:sz w:val="24"/>
      <w:szCs w:val="24"/>
    </w:rPr>
  </w:style>
  <w:style w:type="paragraph" w:customStyle="1" w:styleId="42">
    <w:name w:val="TOC 标题1"/>
    <w:basedOn w:val="2"/>
    <w:next w:val="1"/>
    <w:semiHidden/>
    <w:unhideWhenUsed/>
    <w:qFormat/>
    <w:uiPriority w:val="39"/>
    <w:pPr>
      <w:outlineLvl w:val="9"/>
    </w:pPr>
    <w:rPr>
      <w:lang w:eastAsia="en-US" w:bidi="en-US"/>
    </w:rPr>
  </w:style>
  <w:style w:type="character" w:customStyle="1" w:styleId="43">
    <w:name w:val="页眉 Char"/>
    <w:basedOn w:val="17"/>
    <w:link w:val="13"/>
    <w:qFormat/>
    <w:uiPriority w:val="99"/>
    <w:rPr>
      <w:rFonts w:ascii="Calibri" w:hAnsi="Calibri" w:eastAsia="宋体"/>
      <w:kern w:val="2"/>
      <w:sz w:val="18"/>
      <w:szCs w:val="18"/>
    </w:rPr>
  </w:style>
  <w:style w:type="character" w:customStyle="1" w:styleId="44">
    <w:name w:val="页脚 Char"/>
    <w:basedOn w:val="17"/>
    <w:link w:val="12"/>
    <w:qFormat/>
    <w:uiPriority w:val="99"/>
    <w:rPr>
      <w:rFonts w:ascii="Calibri" w:hAnsi="Calibri" w:eastAsia="宋体"/>
      <w:kern w:val="2"/>
      <w:sz w:val="18"/>
      <w:szCs w:val="18"/>
    </w:rPr>
  </w:style>
  <w:style w:type="character" w:customStyle="1" w:styleId="45">
    <w:name w:val="批注框文本 Char"/>
    <w:basedOn w:val="17"/>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8286</Words>
  <Characters>8730</Characters>
  <Lines>4</Lines>
  <Paragraphs>1</Paragraphs>
  <TotalTime>4</TotalTime>
  <ScaleCrop>false</ScaleCrop>
  <LinksUpToDate>false</LinksUpToDate>
  <CharactersWithSpaces>8745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2018-08-15T02:06:00Z</dcterms:created>
  <dc:creator>赵 恺（预算处）</dc:creator>
  <cp:lastModifiedBy>巴霍巴利</cp:lastModifiedBy>
  <cp:lastPrinted>2018-12-31T10:56:00Z</cp:lastPrinted>
  <dcterms:modified xsi:type="dcterms:W3CDTF">2025-09-18T04:48:48Z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EDFF3E85210A4953B0F73578B0A68C43_13</vt:lpwstr>
  </property>
</Properties>
</file>