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26FF">
      <w:pPr>
        <w:spacing w:line="540" w:lineRule="exact"/>
        <w:jc w:val="left"/>
        <w:rPr>
          <w:rFonts w:ascii="仿宋" w:hAnsi="仿宋" w:eastAsia="仿宋" w:cs="宋体"/>
          <w:color w:val="auto"/>
          <w:kern w:val="0"/>
          <w:sz w:val="32"/>
          <w:szCs w:val="32"/>
        </w:rPr>
      </w:pPr>
      <w:bookmarkStart w:id="0" w:name="_GoBack"/>
      <w:bookmarkEnd w:id="0"/>
      <w:r>
        <w:rPr>
          <w:rFonts w:hint="eastAsia" w:ascii="仿宋" w:hAnsi="仿宋" w:eastAsia="仿宋" w:cs="宋体"/>
          <w:color w:val="auto"/>
          <w:kern w:val="0"/>
          <w:sz w:val="32"/>
          <w:szCs w:val="32"/>
        </w:rPr>
        <w:t>附件2：</w:t>
      </w:r>
    </w:p>
    <w:p w14:paraId="4CBEF003">
      <w:pPr>
        <w:spacing w:line="540" w:lineRule="exact"/>
        <w:jc w:val="center"/>
        <w:rPr>
          <w:rFonts w:ascii="华文中宋" w:hAnsi="华文中宋" w:eastAsia="华文中宋" w:cs="宋体"/>
          <w:b/>
          <w:color w:val="auto"/>
          <w:kern w:val="0"/>
          <w:sz w:val="52"/>
          <w:szCs w:val="52"/>
        </w:rPr>
      </w:pPr>
    </w:p>
    <w:p w14:paraId="0C4D058E">
      <w:pPr>
        <w:spacing w:line="540" w:lineRule="exact"/>
        <w:jc w:val="center"/>
        <w:rPr>
          <w:rFonts w:ascii="华文中宋" w:hAnsi="华文中宋" w:eastAsia="华文中宋" w:cs="宋体"/>
          <w:b/>
          <w:color w:val="auto"/>
          <w:kern w:val="0"/>
          <w:sz w:val="52"/>
          <w:szCs w:val="52"/>
        </w:rPr>
      </w:pPr>
    </w:p>
    <w:p w14:paraId="6881E3AD">
      <w:pPr>
        <w:spacing w:line="540" w:lineRule="exact"/>
        <w:jc w:val="center"/>
        <w:rPr>
          <w:rFonts w:ascii="华文中宋" w:hAnsi="华文中宋" w:eastAsia="华文中宋" w:cs="宋体"/>
          <w:b/>
          <w:color w:val="auto"/>
          <w:kern w:val="0"/>
          <w:sz w:val="52"/>
          <w:szCs w:val="52"/>
        </w:rPr>
      </w:pPr>
    </w:p>
    <w:p w14:paraId="0433D183">
      <w:pPr>
        <w:spacing w:line="540" w:lineRule="exact"/>
        <w:jc w:val="center"/>
        <w:rPr>
          <w:rFonts w:ascii="华文中宋" w:hAnsi="华文中宋" w:eastAsia="华文中宋" w:cs="宋体"/>
          <w:b/>
          <w:color w:val="auto"/>
          <w:kern w:val="0"/>
          <w:sz w:val="52"/>
          <w:szCs w:val="52"/>
        </w:rPr>
      </w:pPr>
    </w:p>
    <w:p w14:paraId="3FDE3874">
      <w:pPr>
        <w:spacing w:line="540" w:lineRule="exact"/>
        <w:jc w:val="center"/>
        <w:rPr>
          <w:rFonts w:ascii="华文中宋" w:hAnsi="华文中宋" w:eastAsia="华文中宋" w:cs="宋体"/>
          <w:b/>
          <w:color w:val="auto"/>
          <w:kern w:val="0"/>
          <w:sz w:val="52"/>
          <w:szCs w:val="52"/>
        </w:rPr>
      </w:pPr>
    </w:p>
    <w:p w14:paraId="6D06BAEE">
      <w:pPr>
        <w:spacing w:line="540" w:lineRule="exact"/>
        <w:jc w:val="center"/>
        <w:rPr>
          <w:rFonts w:ascii="华文中宋" w:hAnsi="华文中宋" w:eastAsia="华文中宋" w:cs="宋体"/>
          <w:b/>
          <w:color w:val="auto"/>
          <w:kern w:val="0"/>
          <w:sz w:val="52"/>
          <w:szCs w:val="52"/>
        </w:rPr>
      </w:pPr>
    </w:p>
    <w:p w14:paraId="340B9D53">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018AB025">
      <w:pPr>
        <w:spacing w:line="540" w:lineRule="exact"/>
        <w:jc w:val="center"/>
        <w:rPr>
          <w:rFonts w:ascii="华文中宋" w:hAnsi="华文中宋" w:eastAsia="华文中宋" w:cs="宋体"/>
          <w:b/>
          <w:color w:val="auto"/>
          <w:kern w:val="0"/>
          <w:sz w:val="52"/>
          <w:szCs w:val="52"/>
        </w:rPr>
      </w:pPr>
    </w:p>
    <w:p w14:paraId="27CAB537">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431928F7">
      <w:pPr>
        <w:spacing w:line="540" w:lineRule="exact"/>
        <w:jc w:val="center"/>
        <w:rPr>
          <w:rFonts w:hAnsi="宋体" w:eastAsia="仿宋_GB2312" w:cs="宋体"/>
          <w:color w:val="auto"/>
          <w:kern w:val="0"/>
          <w:sz w:val="30"/>
          <w:szCs w:val="30"/>
        </w:rPr>
      </w:pPr>
    </w:p>
    <w:p w14:paraId="636B9DFD">
      <w:pPr>
        <w:spacing w:line="540" w:lineRule="exact"/>
        <w:jc w:val="center"/>
        <w:rPr>
          <w:rFonts w:hAnsi="宋体" w:eastAsia="仿宋_GB2312" w:cs="宋体"/>
          <w:color w:val="auto"/>
          <w:kern w:val="0"/>
          <w:sz w:val="30"/>
          <w:szCs w:val="30"/>
        </w:rPr>
      </w:pPr>
    </w:p>
    <w:p w14:paraId="6CC17B01">
      <w:pPr>
        <w:spacing w:line="540" w:lineRule="exact"/>
        <w:jc w:val="center"/>
        <w:rPr>
          <w:rFonts w:hAnsi="宋体" w:eastAsia="仿宋_GB2312" w:cs="宋体"/>
          <w:color w:val="auto"/>
          <w:kern w:val="0"/>
          <w:sz w:val="30"/>
          <w:szCs w:val="30"/>
        </w:rPr>
      </w:pPr>
    </w:p>
    <w:p w14:paraId="7C9CEF04">
      <w:pPr>
        <w:spacing w:line="540" w:lineRule="exact"/>
        <w:jc w:val="center"/>
        <w:rPr>
          <w:rFonts w:hAnsi="宋体" w:eastAsia="仿宋_GB2312" w:cs="宋体"/>
          <w:color w:val="auto"/>
          <w:kern w:val="0"/>
          <w:sz w:val="30"/>
          <w:szCs w:val="30"/>
        </w:rPr>
      </w:pPr>
    </w:p>
    <w:p w14:paraId="4C889718">
      <w:pPr>
        <w:spacing w:line="540" w:lineRule="exact"/>
        <w:jc w:val="center"/>
        <w:rPr>
          <w:rFonts w:hAnsi="宋体" w:eastAsia="仿宋_GB2312" w:cs="宋体"/>
          <w:color w:val="auto"/>
          <w:kern w:val="0"/>
          <w:sz w:val="30"/>
          <w:szCs w:val="30"/>
        </w:rPr>
      </w:pPr>
    </w:p>
    <w:p w14:paraId="38A50FFA">
      <w:pPr>
        <w:spacing w:line="540" w:lineRule="exact"/>
        <w:jc w:val="center"/>
        <w:rPr>
          <w:rFonts w:hAnsi="宋体" w:eastAsia="仿宋_GB2312" w:cs="宋体"/>
          <w:color w:val="auto"/>
          <w:kern w:val="0"/>
          <w:sz w:val="30"/>
          <w:szCs w:val="30"/>
        </w:rPr>
      </w:pPr>
    </w:p>
    <w:p w14:paraId="3F8F3DDC">
      <w:pPr>
        <w:spacing w:line="540" w:lineRule="exact"/>
        <w:rPr>
          <w:rFonts w:hAnsi="宋体" w:eastAsia="仿宋_GB2312" w:cs="宋体"/>
          <w:color w:val="auto"/>
          <w:kern w:val="0"/>
          <w:sz w:val="30"/>
          <w:szCs w:val="30"/>
        </w:rPr>
      </w:pPr>
    </w:p>
    <w:p w14:paraId="6FB73C8F">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B57E21D">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“我从天山来”昌吉州统计系统基层骨干人员培训</w:t>
      </w:r>
    </w:p>
    <w:p w14:paraId="2AFDD64B">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昌吉回族自治州统计局本级</w:t>
      </w:r>
    </w:p>
    <w:p w14:paraId="3D946795">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昌吉回族自治州统计局本级</w:t>
      </w:r>
    </w:p>
    <w:p w14:paraId="0B62D708">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李明燕</w:t>
      </w:r>
    </w:p>
    <w:p w14:paraId="746F856B">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2024年04月12日</w:t>
      </w:r>
    </w:p>
    <w:p w14:paraId="792C757D">
      <w:pPr>
        <w:spacing w:line="700" w:lineRule="exact"/>
        <w:ind w:firstLine="708" w:firstLineChars="236"/>
        <w:jc w:val="left"/>
        <w:rPr>
          <w:rFonts w:hAnsi="宋体" w:eastAsia="仿宋_GB2312" w:cs="宋体"/>
          <w:color w:val="auto"/>
          <w:kern w:val="0"/>
          <w:sz w:val="30"/>
          <w:szCs w:val="30"/>
        </w:rPr>
      </w:pPr>
    </w:p>
    <w:p w14:paraId="565BA1B2">
      <w:pPr>
        <w:spacing w:line="540" w:lineRule="exact"/>
        <w:rPr>
          <w:rStyle w:val="18"/>
          <w:rFonts w:ascii="黑体" w:hAnsi="黑体" w:eastAsia="黑体"/>
          <w:b w:val="0"/>
          <w:color w:val="auto"/>
          <w:spacing w:val="-4"/>
          <w:sz w:val="32"/>
          <w:szCs w:val="32"/>
        </w:rPr>
      </w:pPr>
    </w:p>
    <w:p w14:paraId="30B1057E">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26C4ABF0">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36DF85A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为认真落实</w:t>
      </w:r>
      <w:r>
        <w:rPr>
          <w:rStyle w:val="18"/>
          <w:rFonts w:hint="eastAsia" w:ascii="楷体" w:hAnsi="楷体" w:eastAsia="楷体"/>
          <w:b w:val="0"/>
          <w:bCs w:val="0"/>
          <w:color w:val="auto"/>
          <w:spacing w:val="-4"/>
          <w:sz w:val="32"/>
          <w:szCs w:val="32"/>
          <w:lang w:val="en-US" w:eastAsia="zh-CN"/>
        </w:rPr>
        <w:t>党</w:t>
      </w:r>
      <w:r>
        <w:rPr>
          <w:rStyle w:val="18"/>
          <w:rFonts w:hint="eastAsia" w:ascii="楷体" w:hAnsi="楷体" w:eastAsia="楷体"/>
          <w:b w:val="0"/>
          <w:bCs w:val="0"/>
          <w:color w:val="auto"/>
          <w:spacing w:val="-4"/>
          <w:sz w:val="32"/>
          <w:szCs w:val="32"/>
        </w:rPr>
        <w:t>中央、国务院办公厅《关于深化统计管理体制改革提高统计数据真实性的意见》，昌吉州党委、政府办公室《关于深化统计管理体制改革提高统计数据真实性的贯彻意见》以及自治区统计局《防范和惩治统计造假、弄虚作假工作考核办法（试行）》等文件要求，根据昌吉州党委组织部《关于印发昌吉州2023年干部人才教育培训计划的通知》，重点围绕党的二十大报告、</w:t>
      </w:r>
      <w:r>
        <w:rPr>
          <w:rStyle w:val="18"/>
          <w:rFonts w:hint="eastAsia" w:ascii="楷体" w:hAnsi="楷体" w:eastAsia="楷体"/>
          <w:b w:val="0"/>
          <w:bCs w:val="0"/>
          <w:color w:val="auto"/>
          <w:spacing w:val="-4"/>
          <w:sz w:val="32"/>
          <w:szCs w:val="32"/>
          <w:lang w:eastAsia="zh-CN"/>
        </w:rPr>
        <w:t>习近平新时代中国特色社会主义思想</w:t>
      </w:r>
      <w:r>
        <w:rPr>
          <w:rStyle w:val="18"/>
          <w:rFonts w:hint="eastAsia" w:ascii="楷体" w:hAnsi="楷体" w:eastAsia="楷体"/>
          <w:b w:val="0"/>
          <w:bCs w:val="0"/>
          <w:color w:val="auto"/>
          <w:spacing w:val="-4"/>
          <w:sz w:val="32"/>
          <w:szCs w:val="32"/>
        </w:rPr>
        <w:t>理论知识、党中央重大决策部署，现行的统计制度方法、双碳目标与我国经济发展方式、大数据分析、当前经济热点分析、非公经济发展等主题开展培训。</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（1）项目名称：“我从天山来”昌吉州统计系统基层骨干人员培训项目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项目主要内容：本项目主要内容为“我从天山来”昌吉州统计系统基层骨干人员培训，培训全州统计基层骨干1次。不少于40人，培训时长不少于10天，培训出勤率达到100%，有效提高统计干部业务能力水平。项目的实施切实提高全州统计干部的工作能力和业务素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实施主体：昌吉州统计局。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实施时间：本项目实施周期为2023年3月19日-2023年3月28日。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实施情况：该项目培训全州统计基层骨干1次，共计40人，培训时长10天，培训出勤率达到100%，本项目于2023年3月19日开始实施，截止2023年3月28日已全部完成，有效提高全州统计干部的工作能力和业务素质。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昌吉回族自治州统计局是自治州人民政府工作部门,为正处级。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（一）依照国家、自治区法律、法规、政策和自治州的统计调查计划,拟订自治州统计工作规章、制度和统计现代化建设规划,监督、检查统计法律、法规的实施。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（二）执行国家、自治区统一的国民经济核算体系、统计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指标体系和基本统计制度及国家的统计标准;组织领导和监督检查各县(市)、自治州各部门的统计和国民经济核算工作负责地区生产总值统一核算、资产负债表编制和自然资源资产负债表编制工作。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（三）会同有关部门组织完成国家、自治区、自治州重大国情国力、区情区力和州情州力普查及抽样调查任务;拟订本地区各项统计计划、调查方案,审批各县(市)及自治州各部门的统计调查计划和调查方案。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四）组织、协调各县(市)、自治州各部门的社会经济调查;汇总、整理全州的基本统计资料;对全州国民经济、社会发展和科技进步等情况进行统计分析、统计预测和统计监督向自治州党委、人民政府及有关部门提供统计信息和咨询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（五）统一核定、管理、公布全州性的基本统计资料,定期向社会公众发布全州国民经济和社会发展情况的统计信息。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（六）建立健全和管理州、县(市)统计信息自动化系统和统计数据库体系,组织领导和管理全州统计数据库网络。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（七）积极推进统计制度方法改革,组织指导全州统计科学研究、统计业务技术教育、统计干部培训,提高全州统计工作水平。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（八）完成自治州党委、人民政府交办的其他任务。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昌吉州统计局单位无下属预算单位，下设 6个科室，办公室(组织人事科)、综合统计科、农业农村统计科(城乡住户调查办公室)、工业和能源资源统计科、社会统计科、统计普查中心。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昌吉州统计局单位编制数33人，实有人数 42人，其中：在职30人， 退休12人。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本项目预算安排总额为23.91万元，资金来源为援疆资金，其中：财政资金0万元，其他资金23.91万元，2023年实际收到预算资金23.91万元，预算资金到位率为100%。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截至2023年12月31日，本项目实际支付资金23.91万元，预算执行率100%。本项目资金主要用于支付培训费用23.91万元。</w:t>
      </w:r>
    </w:p>
    <w:p w14:paraId="161874C9">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5D0BB825">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培训全州统计基层骨干1次。不少于40人，培训时长不少于10天，培训出勤率达到100%，有效提高统计干部业务能力水平。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“培训次数”指标，预期指标值为“等于1次”；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“培训人数”指标，预期指标值为“大于等于40人”；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“培训天数”指标，预期指标值为“大于等于10天”；</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“培训出勤率”指标，预期指标值为“大于等于90%”；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“培训按期完成率”指标，预期指标值为“等于100%”；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（2）项目成本指标指标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“培训人均支出标准”指标，预期指标值为“小于等于600元”；；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“提高统计干部业务能力水平”指标，预期指标值为“有效支持”；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参训学院满意度”指标，预期指标值为“大于等于100%”。</w:t>
      </w:r>
    </w:p>
    <w:p w14:paraId="41DF3921">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34545052">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7FB0B48B">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此次我单位根据《财政支出绩效评价管理暂行办法》（财预〔2020〕10号）文件要求实施评价工作，本次评价对象为“我从天山来”昌吉州统计系统基层骨干人员培训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关于举办“我从天山来”昌吉州统计系统基层骨干人员培训班的通知。</w:t>
      </w:r>
    </w:p>
    <w:p w14:paraId="7B05EB18">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38E6F9C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和公众评判法对项目进行评价，旨在通过综合分析影响绩效目标实现、实施效果的内外部因素，从而评价本项目绩效。三级指标分析环节：总体采用比较法，同时辅以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0C2890A">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7429C5C9">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我单位于2024年3月8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贠劲春（评价小组组长）：主要负责项目策划和监督，全面负责项目绩效评价办稿的最终质量，对评估人员出具的最终报告质量进行复核，确保评估结果的客观性；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李明燕（评价小组组员）：主要负责资料的收集，取证、数据统计分析；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章琼丹（评价小组组员）：主要负责主要负责项目报告的制定，指标的研判，数据分析及报告撰写。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2024年3月11日-3月13日，评价工作进入实施阶段。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经调研了解，该项目主要受益群体包括参加培训人员。我们根据绩效评价目标和绩效指标体系，设计满意度调查问卷进行问卷调查，其中培训受益对象共选取样本40人，共发放问卷40份，最终收回40份。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2024年3月14日-3月15日，评价小组按照绩效评价的原则和规范，对取得的资料进行审查核实，对采集的数据进行分析，按照绩效评价指标评分表逐项进行打分、分析、汇总各方评价结果。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2024年3月16-3月17日，评价小组撰写绩效评价报告，按照新疆维吾尔自治区财政绩效管理信息系统绩效评价模块中统一格式和文本框架撰写绩效评价报告并提交审核。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建立和落实档案管理制度，将项目相关资料存档，包括但不限于：评价项目基本情况和相关文件、评价实施方案、项目支付资料等相关档案。</w:t>
      </w:r>
    </w:p>
    <w:p w14:paraId="04854C6C">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15756ED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经评价，本项目达成年初设立的绩效目标，在实施过程中取得了良好的成效，具体表现在：通过项目的实施，通过“我从天山来”昌吉州统计系统基层骨干人员培训项目的实施，有效提高统计干部业务能力水平。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此次绩效评价通过绩效评价小组论证的评价指标体系及评分标准，采用因素分析法和比较法对本项目绩效进行客观评价，本项目共设置三级指标数量19个，实现三级指标数量19个，总体完成率为100%。最终评分结果：总分为100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项目决策类指标共设置6个，满分指标6个，得分率100%；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过程管理类指标共设置5个，满分指标5个，得分率100%；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项目产出类指标共设置6个，满分指标6个，得分率100%；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w:t>
      </w:r>
    </w:p>
    <w:p w14:paraId="5E5A298A">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0264E254">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15BB72AA">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立项符合建设符合中央、国务院办公厅印发《关于深化统计管理体制改革提高统计数据真实性的意见》中提出的：强化上级统计机构对下级统计机构的业务领导和监管，强化政府综合统计机构对部门统计的业务指导和管理，确保国家统计政令顺畅执行。本项目立项符合昌吉州党委组织部《关于印发昌吉州2023年干部人才教育培训计划的通知》中的培训计划，本项目立项符合《昌吉回族自治州统计局职能配置、内设机构和人员编制规定》中职责范围中的“积极推进统计制度方法改革，组织指导全州统计科学研究、统计业务技术教育、统计干部培训，提高全州统计工作水平”，属于我单位履职所需；根据《财政资金直接支付申请书》，本项目资金性质为“公共财政预算”功能分类为“其他统计信息事务支出”经济分类为“培训费”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已设置年度绩效目标，具体内容为“培训全州统计基层骨干1次。不少于40人，培训时长不少于10天，培训出勤率达到100%，有效提高统计干部业务能力水平。”；本项目实际工作内容为：培训全州培训全州统计基层骨干1次，共计40人，培训10天，培训出勤率达到100%，有效提高统计干部业务能力水平。；绩效目标与实际工作内容一致，两者具有相关性;本项目按照绩效目标完成了数量指标、质量指标、时效指标、成本指标，有效提高统计干部业务能力水平，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经检查我单位年初设置的《项目支出绩效目标表》，得出如下结论：本项目已将年度绩效目标进行细化为绩效指标体系，共设置一级指标4个，二级指标6个，三级指标8个，定量指标7个，定性指标1个，指标量化率为87.5%，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本项目预算编制通过委托培训得出，即预算编制较科学且经过论证；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预算申请内容为培训全州统计基层骨干1次。不少于40人，培训时长不少于10天，培训出勤率达到100%，有效提高统计干部业务能力水平。，项目实际内容为培训全州培训全州统计基层骨干1次，共计40人，培训10天，培训出勤率达到100%，有效提高统计干部业务能力水平。预算申请与《2023年福建援疆交往交流交融项目审批表》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预算申请资金23.91万元，我单位在预算申请中严格按照单位标准和数量进行核算，其中：住宿费标准为270元，数量为40人/晚，每人9晚；伙食费标准为130元，数量为40人/天，每人10天；培训场地、资料、交通费标准为30元，数量为40人/天，每人10天；其他费用标准为20元，数量为40人/天，每人10天；师资费，45912元，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实际分配资金以《2023年福建援疆交往交流交融项目审批表》和《培训费明细》为依据进行资金分配，预算资金分配依据充分。本项目实际到位资金23.91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5633D654">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3806B2D8">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项目过程管理类指标由2个二级指标和5个三级指标构成，权重分19.00分，实际得分19分。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预算资金为23.91万元，其中：本级财政安排资金23.91万元，其他资金0万元，实际到位资金23.91万元，资金到位率等于（实际到位资金/预算资金）×100.00%等于（23.91/23.91）*100.00%等于100%。得分等于资金到位率*分值等于100%*4等于4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本项目实际支出资金23.91万元，预算执行率等于（实际支出资金/实际到位资金）×100.00%等于（23.91/23.91）*100.00%等于100%。得分等于预算执行率*分值等于100%*5等于5分。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综上所述，本指标满分为5.00分，根据评分标准得5分，本项目资金分配合理。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通过检查本项目签订的合同、资金申请文件、发票等财务付款凭证，得出本项目资金支出符合国家财经法规、《政府会计制度》以及《单位项目管理制度》《昌吉州统计局预算绩效管理制度》，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综上所述，本指标满分为4.00分，根据评分标准得4分，资金支出符合我单位财务管理制度规定。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我单位已制定《昌吉州统计局财务管理制度》《昌吉州统计局资产管理制度》《昌吉州统计局合同管理业务制度》《项目资金绩效评价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综上所述，本指标满分为2.00分，根据评分标准得2分，项目制度建设健全。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我从天山来”昌吉州统计系统基层骨干人员培训项目工作领导小组，由党组书记杨学军任组长，负责项目的组织工作；贠劲春任副组长，负责项目的实施工作；组员包括：李慧娟和李明燕，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综上所述，本指标满分为4.00分，根据评分标准得4分，本项目所建立制度执行有效。</w:t>
      </w:r>
    </w:p>
    <w:p w14:paraId="791CBD34">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7680F934">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项目产出类指标由4个二级指标和6个三级指标构成，权重分30分，实际得分30分。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“培训次数”指标:预期指标值为“等于1次”，实际完成指标值为1次，指标完成率为100.0%。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“培训人数”指标:预期指标值为“大于等于40人”，实际完成指标值为40人，指标完成率为100.0%。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“培训天数”指标:预期指标值为“大于等于10天”，实际完成指标值为10天，指标完成率为100.0%。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“培训出勤率”指标:预期指标值为“大于等于90%”，实际完成指标值为100，指标完成率为100.0%。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“培训按期完成率”指标:预期指标值为“大于等于100%”；实际完成指标值为100%，指标完成率为100.0%。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综上所述，本指标满分为5分，根据评分标准得5分。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“培训人均支出标准”指标:预期指标值为“小于等于600元”，实际完成指标值为597.78元，指标完成率为100.0%。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综上所述，本指标满分为5分，根据评分标准得5分。</w:t>
      </w:r>
    </w:p>
    <w:p w14:paraId="741CC999">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033678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　　　项目效益类指标由2个二级指标和2个三级指标构成，权重分30.0分，实际得分30分。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“提高统计干部业务能力水平”指标:预期指标值为“有效支持”，实际完成指标值为“有效支持”，指标完成率为100.0%。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综上所述，本指标满分为15分，根据评分标准得15分。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“参训学院满意度”指标：预期指标值为“大于等于100%”，实际完成指标值为“100%”，“指标完成率为100%。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综上所述，本指标满分为15分，根据评分标准得15分。</w:t>
      </w:r>
    </w:p>
    <w:p w14:paraId="77A4C012">
      <w:pPr>
        <w:spacing w:line="540" w:lineRule="exact"/>
        <w:ind w:firstLine="567"/>
        <w:rPr>
          <w:rStyle w:val="18"/>
          <w:rFonts w:ascii="楷体" w:hAnsi="楷体" w:eastAsia="楷体"/>
          <w:color w:val="auto"/>
          <w:spacing w:val="-4"/>
          <w:sz w:val="32"/>
          <w:szCs w:val="32"/>
        </w:rPr>
      </w:pPr>
    </w:p>
    <w:p w14:paraId="0DC98D6A">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3F97AA91">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本项目年初预算资金总额为23.91万元，全年预算数为23.91万元，全年执行数为23.91万元，预算执行率为100.00%。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本项目共设置三级指标数量19个，满分指标数量19个，扣分指标数量0个，经分析计算所有三级指标完成率得出，本项目总体完成率为100%。无偏差。</w:t>
      </w:r>
    </w:p>
    <w:p w14:paraId="5D3171FF">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37AEB693">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　　　　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一是领导重视到位：高度重视，主要领导亲自抓，并予以充分的人力、财力保障。责任落实到位：将各项目工作列入年度干部绩效考核实施方案，将各项目工作落实到具体科室、具体岗位、具体个人。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无。</w:t>
      </w:r>
    </w:p>
    <w:p w14:paraId="65F31D5A">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2EEC5668">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1.绩效预算认识不够充分，绩效理念有待进一步强化</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例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2.绩效档案归档工作有待提高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p>
    <w:p w14:paraId="54BF8814">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55FC4DA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20264DCF">
      <w:pPr>
        <w:spacing w:line="540" w:lineRule="exact"/>
        <w:ind w:firstLine="567"/>
        <w:rPr>
          <w:rStyle w:val="18"/>
          <w:rFonts w:ascii="仿宋" w:hAnsi="仿宋" w:eastAsia="仿宋"/>
          <w:b w:val="0"/>
          <w:color w:val="auto"/>
          <w:spacing w:val="-4"/>
          <w:sz w:val="32"/>
          <w:szCs w:val="32"/>
        </w:rPr>
      </w:pPr>
    </w:p>
    <w:p w14:paraId="0DB959B3">
      <w:pPr>
        <w:spacing w:line="540" w:lineRule="exact"/>
        <w:ind w:firstLine="567"/>
        <w:rPr>
          <w:rStyle w:val="18"/>
          <w:rFonts w:ascii="仿宋" w:hAnsi="仿宋" w:eastAsia="仿宋"/>
          <w:b w:val="0"/>
          <w:color w:val="auto"/>
          <w:spacing w:val="-4"/>
          <w:sz w:val="32"/>
          <w:szCs w:val="32"/>
        </w:rPr>
      </w:pPr>
    </w:p>
    <w:p w14:paraId="4C80510C">
      <w:pPr>
        <w:spacing w:line="540" w:lineRule="exact"/>
        <w:ind w:firstLine="567"/>
        <w:rPr>
          <w:rStyle w:val="18"/>
          <w:rFonts w:ascii="仿宋" w:hAnsi="仿宋" w:eastAsia="仿宋"/>
          <w:b w:val="0"/>
          <w:color w:val="auto"/>
          <w:spacing w:val="-4"/>
          <w:sz w:val="32"/>
          <w:szCs w:val="32"/>
        </w:rPr>
      </w:pPr>
    </w:p>
    <w:p w14:paraId="54F9B86A">
      <w:pPr>
        <w:spacing w:line="540" w:lineRule="exact"/>
        <w:ind w:firstLine="567"/>
        <w:rPr>
          <w:rStyle w:val="18"/>
          <w:rFonts w:ascii="仿宋" w:hAnsi="仿宋" w:eastAsia="仿宋"/>
          <w:b w:val="0"/>
          <w:color w:val="auto"/>
          <w:spacing w:val="-4"/>
          <w:sz w:val="32"/>
          <w:szCs w:val="32"/>
        </w:rPr>
      </w:pPr>
    </w:p>
    <w:p w14:paraId="26F6F99E">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69876A38">
        <w:pPr>
          <w:pStyle w:val="12"/>
          <w:jc w:val="center"/>
        </w:pPr>
        <w:r>
          <w:fldChar w:fldCharType="begin"/>
        </w:r>
        <w:r>
          <w:instrText xml:space="preserve">PAGE   \* MERGEFORMAT</w:instrText>
        </w:r>
        <w:r>
          <w:fldChar w:fldCharType="separate"/>
        </w:r>
        <w:r>
          <w:rPr>
            <w:lang w:val="zh-CN"/>
          </w:rPr>
          <w:t>2</w:t>
        </w:r>
        <w:r>
          <w:fldChar w:fldCharType="end"/>
        </w:r>
      </w:p>
    </w:sdtContent>
  </w:sdt>
  <w:p w14:paraId="29AD7D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2622475"/>
    <w:rsid w:val="0856517C"/>
    <w:rsid w:val="0BFB189F"/>
    <w:rsid w:val="0F176579"/>
    <w:rsid w:val="11BD75F7"/>
    <w:rsid w:val="13BE561A"/>
    <w:rsid w:val="15392994"/>
    <w:rsid w:val="18FE139B"/>
    <w:rsid w:val="1A9D648D"/>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9432</Words>
  <Characters>9979</Characters>
  <Lines>4</Lines>
  <Paragraphs>1</Paragraphs>
  <TotalTime>2</TotalTime>
  <ScaleCrop>false</ScaleCrop>
  <LinksUpToDate>false</LinksUpToDate>
  <CharactersWithSpaces>10478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小麦啾</cp:lastModifiedBy>
  <cp:lastPrinted>2018-12-31T10:56:00Z</cp:lastPrinted>
  <dcterms:modified xsi:type="dcterms:W3CDTF">2025-06-03T05:25:51Z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C734C92AAAF24344A0E4232D8EB3359B</vt:lpwstr>
  </property>
  <property fmtid="{D5CDD505-2E9C-101B-9397-08002B2CF9AE}" pid="4" name="KSOTemplateDocerSaveRecord">
    <vt:lpwstr>eyJoZGlkIjoiMzcxN2Q5OGY0MzIxMzQ2YTVkNjkyNjY4OTc0MzQwMDIiLCJ1c2VySWQiOiIzMjQ5NjUzODcifQ==</vt:lpwstr>
  </property>
</Properties>
</file>