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80F0B0">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519E58C4">
      <w:pPr>
        <w:spacing w:line="540" w:lineRule="exact"/>
        <w:jc w:val="center"/>
        <w:rPr>
          <w:rFonts w:hint="eastAsia" w:ascii="华文中宋" w:hAnsi="华文中宋" w:eastAsia="华文中宋" w:cs="宋体"/>
          <w:b/>
          <w:kern w:val="0"/>
          <w:sz w:val="52"/>
          <w:szCs w:val="52"/>
        </w:rPr>
      </w:pPr>
    </w:p>
    <w:p w14:paraId="42C04652">
      <w:pPr>
        <w:spacing w:line="540" w:lineRule="exact"/>
        <w:jc w:val="center"/>
        <w:rPr>
          <w:rFonts w:hint="eastAsia" w:ascii="华文中宋" w:hAnsi="华文中宋" w:eastAsia="华文中宋" w:cs="宋体"/>
          <w:b/>
          <w:kern w:val="0"/>
          <w:sz w:val="52"/>
          <w:szCs w:val="52"/>
        </w:rPr>
      </w:pPr>
    </w:p>
    <w:p w14:paraId="65569FF0">
      <w:pPr>
        <w:spacing w:line="540" w:lineRule="exact"/>
        <w:jc w:val="center"/>
        <w:rPr>
          <w:rFonts w:hint="eastAsia" w:ascii="华文中宋" w:hAnsi="华文中宋" w:eastAsia="华文中宋" w:cs="宋体"/>
          <w:b/>
          <w:kern w:val="0"/>
          <w:sz w:val="52"/>
          <w:szCs w:val="52"/>
        </w:rPr>
      </w:pPr>
    </w:p>
    <w:p w14:paraId="4742A675">
      <w:pPr>
        <w:spacing w:line="540" w:lineRule="exact"/>
        <w:jc w:val="center"/>
        <w:rPr>
          <w:rFonts w:hint="eastAsia" w:ascii="华文中宋" w:hAnsi="华文中宋" w:eastAsia="华文中宋" w:cs="宋体"/>
          <w:b/>
          <w:kern w:val="0"/>
          <w:sz w:val="52"/>
          <w:szCs w:val="52"/>
        </w:rPr>
      </w:pPr>
    </w:p>
    <w:p w14:paraId="62F8C266">
      <w:pPr>
        <w:spacing w:line="540" w:lineRule="exact"/>
        <w:jc w:val="center"/>
        <w:rPr>
          <w:rFonts w:hint="eastAsia" w:ascii="华文中宋" w:hAnsi="华文中宋" w:eastAsia="华文中宋" w:cs="宋体"/>
          <w:b/>
          <w:kern w:val="0"/>
          <w:sz w:val="52"/>
          <w:szCs w:val="52"/>
        </w:rPr>
      </w:pPr>
    </w:p>
    <w:p w14:paraId="7C46B278">
      <w:pPr>
        <w:spacing w:line="540" w:lineRule="exact"/>
        <w:jc w:val="center"/>
        <w:rPr>
          <w:rFonts w:hint="eastAsia" w:ascii="华文中宋" w:hAnsi="华文中宋" w:eastAsia="华文中宋" w:cs="宋体"/>
          <w:b/>
          <w:kern w:val="0"/>
          <w:sz w:val="52"/>
          <w:szCs w:val="52"/>
        </w:rPr>
      </w:pPr>
    </w:p>
    <w:p w14:paraId="3F39A99E">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22CEE56">
      <w:pPr>
        <w:spacing w:line="540" w:lineRule="exact"/>
        <w:jc w:val="center"/>
        <w:rPr>
          <w:rFonts w:hint="eastAsia" w:ascii="华文中宋" w:hAnsi="华文中宋" w:eastAsia="华文中宋" w:cs="宋体"/>
          <w:b/>
          <w:kern w:val="0"/>
          <w:sz w:val="52"/>
          <w:szCs w:val="52"/>
        </w:rPr>
      </w:pPr>
    </w:p>
    <w:p w14:paraId="30C02E36">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57B9A6B5">
      <w:pPr>
        <w:spacing w:line="540" w:lineRule="exact"/>
        <w:jc w:val="center"/>
        <w:rPr>
          <w:rFonts w:hint="eastAsia" w:hAnsi="宋体" w:eastAsia="仿宋_GB2312" w:cs="宋体"/>
          <w:kern w:val="0"/>
          <w:sz w:val="30"/>
          <w:szCs w:val="30"/>
        </w:rPr>
      </w:pPr>
    </w:p>
    <w:p w14:paraId="083D4679">
      <w:pPr>
        <w:spacing w:line="540" w:lineRule="exact"/>
        <w:jc w:val="center"/>
        <w:rPr>
          <w:rFonts w:hint="eastAsia" w:hAnsi="宋体" w:eastAsia="仿宋_GB2312" w:cs="宋体"/>
          <w:kern w:val="0"/>
          <w:sz w:val="30"/>
          <w:szCs w:val="30"/>
        </w:rPr>
      </w:pPr>
    </w:p>
    <w:p w14:paraId="31C545D5">
      <w:pPr>
        <w:spacing w:line="540" w:lineRule="exact"/>
        <w:jc w:val="center"/>
        <w:rPr>
          <w:rFonts w:hint="eastAsia" w:hAnsi="宋体" w:eastAsia="仿宋_GB2312" w:cs="宋体"/>
          <w:kern w:val="0"/>
          <w:sz w:val="30"/>
          <w:szCs w:val="30"/>
        </w:rPr>
      </w:pPr>
    </w:p>
    <w:p w14:paraId="7814C6DB">
      <w:pPr>
        <w:spacing w:line="540" w:lineRule="exact"/>
        <w:jc w:val="center"/>
        <w:rPr>
          <w:rFonts w:hint="eastAsia" w:hAnsi="宋体" w:eastAsia="仿宋_GB2312" w:cs="宋体"/>
          <w:kern w:val="0"/>
          <w:sz w:val="30"/>
          <w:szCs w:val="30"/>
        </w:rPr>
      </w:pPr>
    </w:p>
    <w:p w14:paraId="501DAE87">
      <w:pPr>
        <w:spacing w:line="540" w:lineRule="exact"/>
        <w:jc w:val="center"/>
        <w:rPr>
          <w:rFonts w:hint="eastAsia" w:hAnsi="宋体" w:eastAsia="仿宋_GB2312" w:cs="宋体"/>
          <w:kern w:val="0"/>
          <w:sz w:val="30"/>
          <w:szCs w:val="30"/>
        </w:rPr>
      </w:pPr>
    </w:p>
    <w:p w14:paraId="1DBD4B55">
      <w:pPr>
        <w:spacing w:line="540" w:lineRule="exact"/>
        <w:jc w:val="center"/>
        <w:rPr>
          <w:rFonts w:hint="eastAsia" w:hAnsi="宋体" w:eastAsia="仿宋_GB2312" w:cs="宋体"/>
          <w:kern w:val="0"/>
          <w:sz w:val="30"/>
          <w:szCs w:val="30"/>
        </w:rPr>
      </w:pPr>
    </w:p>
    <w:p w14:paraId="01FFD100">
      <w:pPr>
        <w:spacing w:line="540" w:lineRule="exact"/>
        <w:rPr>
          <w:rFonts w:hint="eastAsia" w:hAnsi="宋体" w:eastAsia="仿宋_GB2312" w:cs="宋体"/>
          <w:kern w:val="0"/>
          <w:sz w:val="30"/>
          <w:szCs w:val="30"/>
        </w:rPr>
      </w:pPr>
    </w:p>
    <w:p w14:paraId="4E01ADAA">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3170233C">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昌吉州美术馆开馆首展经费</w:t>
      </w:r>
    </w:p>
    <w:p w14:paraId="3604826C">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昌吉回族自治州文化体育广播电视和旅游局</w:t>
      </w:r>
    </w:p>
    <w:p w14:paraId="660C49F7">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昌吉回族自治州文化体育广播电视和旅游局</w:t>
      </w:r>
    </w:p>
    <w:p w14:paraId="007E75AE">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朱晓玲</w:t>
      </w:r>
    </w:p>
    <w:p w14:paraId="0E754BBC">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2024年04月17日</w:t>
      </w:r>
    </w:p>
    <w:p w14:paraId="44E735A0">
      <w:pPr>
        <w:spacing w:line="700" w:lineRule="exact"/>
        <w:ind w:firstLine="708" w:firstLineChars="236"/>
        <w:jc w:val="left"/>
        <w:rPr>
          <w:rFonts w:hint="eastAsia" w:hAnsi="宋体" w:eastAsia="仿宋_GB2312" w:cs="宋体"/>
          <w:kern w:val="0"/>
          <w:sz w:val="30"/>
          <w:szCs w:val="30"/>
        </w:rPr>
      </w:pPr>
    </w:p>
    <w:p w14:paraId="750127A8">
      <w:pPr>
        <w:spacing w:line="540" w:lineRule="exact"/>
        <w:rPr>
          <w:rStyle w:val="18"/>
          <w:rFonts w:hint="eastAsia" w:ascii="黑体" w:hAnsi="黑体" w:eastAsia="黑体"/>
          <w:b w:val="0"/>
          <w:spacing w:val="-4"/>
          <w:sz w:val="32"/>
          <w:szCs w:val="32"/>
        </w:rPr>
      </w:pPr>
    </w:p>
    <w:p w14:paraId="485B492C">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113019C">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0131BBB5">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为贯彻落实习近平新时代中国特色社会主义思想和党的二十大精神，推进文化润疆，弘扬社会主义核心价值观，铸牢中华民族共同体意识，加快构建现代公共文化服务体系，于2022年成立昌吉州美术馆。2023年5月8日，“文润昌吉——昌吉州美术馆开馆展”共展出作品244件，涵盖中国画、油画、版画、书法、摄影等多个艺术门类，是多年来昌吉州老中青三代艺术家和北京、福建、山西及国内名家，围绕中央和区、州重大历史节点、重大发展战略和重大主题创作的优秀作品。这些作品全景展现昌吉州历史之美、山河之美、文化之美，生动刻画全州各族群众奋斗之志、创造之力、发展之果，有着重要的历史价值和艺术价值。开馆展有效的将艺术转化为社会美育资源，不断凝聚共识，为昌吉州建设推进中国式现代化新疆实践的典范地州提供强大精神力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（1）项目名称：昌吉州美术馆开馆首展经费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昌吉州美术馆开馆首展经费的实施，征集244幅美术作品进行了展览，征集作品展出时长1.7个月,全景展现昌吉州历史之美、山河之美、文化之美，生动刻画全州各族群众奋斗之志、创造之力、发展之果，有着重要的历史价值和艺术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实施主体：昌吉州文化体育广播电视和旅游局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实施时间：本项目实施周期为2023年5月-2023年6月。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本项目于2023年5月开始实施，截止2023年6月已全部完成，通过本项目的实施，这些作品在美术馆与观众现场互动对话，以内在美和形式美传承艺术的高度和深度，是与观众精神世界、审美理想的交流，不同年龄的观众从中能找寻属于自己的时代痕迹，有效的将艺术转化为社会美育资源，不断凝聚共识，为建设推进中国式现代化新疆实践的典范地州提供强大精神力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1）牢牢掌握意识形态工作领导权和主动权，拟订文化、体育、广播电视和旅游发展规划和政策措施、规章制度，并组织实施。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2）统筹文化、体育、广播电视和旅游事业、产业振兴发展，推进文化、体育、广播电视和旅游融合发展，推动落实文化、体育、广播电视和旅游体制机制改革工作。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管理自治州重大文化、体育和旅游活动，指导自治州重点文化、体育、广播电视和旅游设施建设；组织文化和旅游整体形象推广；统筹文化和旅游区管理，推进全域旅游建设；指导文化、体育、广播电视和旅游科技创新发展，推进文化、体育、广播电视和旅游行业信息化、标准化建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文化、体育、广播电视和旅游产业，指导、协调、推动文化、体育、广播电视和旅游产业发展，制定发展规划、产业政策并组织实施；组织实施文化和旅游资源普查、挖掘、保护与利用工作，推动文化和旅游产业投融资体系建设，促进文化和旅游产业发展；结合乡村振兴战略，推进文化和旅游扶贫。</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5）指导文化和旅游市场发展，对文化和旅游市场经营进行行业监管，推进文化和旅游行业信用体系建设，依法规范文化和旅游市场。负责文化和旅游安全的综合协调与监督管理，指导文化和旅游应急救援工作。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6）管理全州文艺事业，指导艺术创作生产、传播推广及艺术研究、评论，推动各门类艺术、各艺术品种繁荣发展。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7）管理公共文化事业，协调推进全州现代公共文化服务体系建设，深入实施文化惠民工程，推动城乡基本公共文化服务标准化、均等化。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8）管理全州非物质文化遗产保护工作，推动非物质文化遗产的保护、传承、普及、弘扬和振兴，传承和弘扬中华优秀传统文化。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管理、指导全州体育发展；负责推动多元化体育服务体系建设，推进体育公共服务。统筹规划全州群众体育发展，负责推行全民健身计划，推动国民体质监测和社会体育指导工作队伍制度建设；指导公共体育设施的建设，负责对公共体育设施的监督管理。统筹规划全州竞技体育发展，设置体育运动项目，指导协调体育训练和体育竞赛，承办和参加全国、全区性的运动竞赛，指导运动队伍建设，协调运动员社会保障工作；统筹规划全州青少年体育发展，指导和推进青少年体育工作。协调、指导、管理我州承办的国际性、商业性体育比赛和经批准开展的特殊体育经营活动。负责体育彩票发行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组织实施广播电视公共服务重大公益工程和公益活动，指导、监督广播电视重点基础设施建设；负责对各类广播电视机构进行业务指导和行业监管，会同有关部门对网络视听节目服务机构进行管理；监督管理、审查广播电视节目、网络视听节目的内容和质量；指导、监管广播电视广告播放，负责对境外卫星电视节目接收的监管；负责推进广播电视与新媒体新技术新业态融合发展；负责对广播电视节目传输覆盖、监测和安全播出进行监管，指导、推进应急广播体系建设；指导实施广播电视节目评价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11）指导统筹文物工作。负责文物保护管理、抢救维修、考古发掘、科技研究、文物鉴定、文物进出境以及宣传教育等工作。指导博物馆和革命文物工作。依法规范社会文物流通、经销和拍卖活动等工作。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负责自治州文化市场综合执法工作，？拟订文化和旅游市场综合执法工作标准与规范并监督实施；指导、推动自治州文化市场综合执法队伍建设；指导、监督全州文化和旅游市场综合执法工作；组织查处全州性、跨县市文化、体育、旅游、文物、广播电视等市场的违法行为；承担行政复议工作，维护市场秩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13）指导、管理文化、体育和旅游对外及对港澳台交流、合作、宣传、推广；组织文化、体育和旅游对外及对港澳台交流活动。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14）完成自治州党委、自治州人民政府交办的其他任务。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文化体育广播电视和旅游局机构设置：无下属预算单位，内设8个科室，分别是：办公室(组织人事科)、规划产业科、市场监督管理科(行政审批科)、文化艺术科、体育科、广播电视管理科、旅游推广科、文物保护管理科。昌吉州文化体育广播电视和旅游局人员总数76名，其中：在职27名，退休48名，离休1名。实有人员76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本项目预算安排总额为70.00万元，资金来源为财政资金，其中：财政资金70.00万元，其他资金0.00万元，2023年实际收到预算资金70.00万元，预算资金到位率为100.00%。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截至2023年12月31日，本项目实际支付资金69.50万元，预算执行率99.29%。本项目资金主要用于支付昌吉州美术馆开馆展项目作品设计、装裱、运输费47.00万，布展撤展费20.00万元，宣传费3.00万元，合计费用70.00万元。</w:t>
      </w:r>
    </w:p>
    <w:p w14:paraId="6BFAAFF2">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0B3CC2A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计划于2023年5月8日进行昌吉州美术馆开馆展，本项目计划征集不少于100幅美术作品进行了展览，征集作品展出时长不少于1个月经费由昌吉州本级财政保障拨付，通过该项目实施，推进文化润疆工作，推动本土艺术发展，不断拓展、创新向公众提供优质的文化服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“美术作品征集”指标，预期指标值为“大于等于100幅”；</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“征集作品展出时长”指标，预期指标值为“大于等于1个月”；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“项目完成及时率”指标，预期指标值为“大于等于90.00%”；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“预算成本控制率”指标，预期指标值为“小于等于100.00%”；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“满足广大群众的精神文化需要”指标，预期指标值为“满足”；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“增加受益群众”指标，预期指标值为“增加”；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“基层群众对文化服务的满意度”指标，预期指标值为“大于等于90.00%”。</w:t>
      </w:r>
    </w:p>
    <w:p w14:paraId="3504BA6B">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1170595D">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E210AFF">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促进本单位总结经验、发现问题、改进工作，旨在评价本项目前期审批、实施过程及实施效果，促进预算管理不断完善，加快绩效目标的实现，保证财政资金有效、合理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此次我单位根据《财政支出绩效评价管理暂行办法》（财预〔2020〕10号）文件要求实施评价工作，本次评价对象为昌吉州美术馆开馆首展经费，评价核心为项目资金、项目产出、项目效益。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（5）《昌吉州文化体育广播电视和旅游局财务管理制度》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（6）昌吉州文化体育广播电视和旅游局合同管理制度》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（7）《昌吉州文化体育广播电视和旅游局政府采购管理制度》</w:t>
      </w:r>
    </w:p>
    <w:p w14:paraId="74AF93AD">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0EC1592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w:t>
      </w:r>
      <w:bookmarkStart w:id="0" w:name="_GoBack"/>
      <w:bookmarkEnd w:id="0"/>
      <w:r>
        <w:rPr>
          <w:rStyle w:val="18"/>
          <w:rFonts w:hint="eastAsia" w:ascii="楷体" w:hAnsi="楷体" w:eastAsia="楷体"/>
          <w:b w:val="0"/>
          <w:bCs w:val="0"/>
          <w:spacing w:val="-4"/>
          <w:sz w:val="32"/>
          <w:szCs w:val="32"/>
        </w:rPr>
        <w:t>以及公众评判法。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A85BFAD">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68172484">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通过项目的实施，完成征集244幅美术作品进行了展览，征集作品展出时长1.7个月。全景展现了昌吉州历史之美、山河之美、文化之美，生动刻画全州各族群众奋斗之志、创造之力、发展之果，有着重要的历史价值和艺术价值，发挥了以内在美和形式美传承艺术的高度和深度，与观众精神世界、审美理想的交流，不同年龄的观众从中能找寻属于自己的时代痕迹，有效的将艺术转化为社会美育资源，不断凝聚共识，为建设推进中国式现代化新疆实践的典范地州提供强大精神力量的效益。但在实施过程中也存在一些不足：美术馆为新开展馆，宣传投入力度不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18个，实现三级指标数量18个，总体完成率为100.00%。最终评分结果：总分为100.00分，绩效评级为“优”。综合评价结论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项目产出类指标共设置4个，满分指标4个，得分率100.00%；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项目效益类指标共设置3个，满分指标3个，得分率100.00%。</w:t>
      </w:r>
    </w:p>
    <w:p w14:paraId="5AE0BF88">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B20AD9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通过项目的实施，完成征集244幅美术作品进行了展览，征集作品展出时长1.7个月。全景展现了昌吉州历史之美、山河之美、文化之美，生动刻画全州各族群众奋斗之志、创造之力、发展之果，有着重要的历史价值和艺术价值，发挥了以内在美和形式美传承艺术的高度和深度，与观众精神世界、审美理想的交流，不同年龄的观众从中能找寻属于自己的时代痕迹，有效的将艺术转化为社会美育资源，不断凝聚共识，为建设推进中国式现代化新疆实践的典范地州提供强大精神力量的效益。但在实施过程中也存在一些不足：美术馆为新开展馆，宣传投入力度不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18个，实现三级指标数量18个，总体完成率为100.00%。最终评分结果：总分为100.00分，绩效评级为“优”。综合评价结论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项目产出类指标共设置4个，满分指标4个，得分率100%；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项目效益类指标共设置3个，满分指标3个，得分率100%。</w:t>
      </w:r>
    </w:p>
    <w:p w14:paraId="2FB0EE0C">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31A91B00">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3F7DA445">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昌吉州财政局下发的《关于下达昌吉州本级预算单位2023年部门预算的通知》（昌州财教〔2023〕1号）中：“附件：项目支出表”内容，符合行业发展规划和政策要求；本项目立项符合《昌吉州美术馆单位配置内设机构和人员编制规定》中职责范围中的“国家法律法规、自治区和地区行业发展规划和政策要求”，属于我单位履职所需；根据《财政资金直接支付申请书》，本项目资金性质为“公共财政预算”功能分类为“文化展示及纪念机构、一般行政管理事务”经济分类为“委托业务费、基础设施建设”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关于下达昌吉州本级预算单位2023年部门预算的通知》（昌州财教〔2023〕1号）文件要求实施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昌吉州美术馆开馆首展”；本项目实际工作内容为：昌吉州美术馆开馆首展；绩效目标与实际工作内容一致，两者具有相关性;本项目按照绩效目标完成了数量指标、质量指标、时效指标、成本指标，有效保障了昌吉州美术馆开馆展顺利举行，年度绩效目标完成，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7个，三级指标7个，定量指标5个，定性指标2个，指标量化率为71.43%，量化率达70.00%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本项目预算编制通过市场询价得出，即预算编制较科学且经过论证；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预算申请内容为昌吉州美术馆开馆展，项目实际内容为昌吉州美术馆开馆展，预算申请与《昌吉州美术馆开馆展项目实施方案》中涉及的项目内容匹配；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70.00万元，我单位在预算申请中严格按照单位标准和数量进行核算，其中：作品设计、装裱、运输费47.00万，布展撤展费20.00万元，宣传费3.00万元，合计费用70.00万元。本项目预算额度测算依据充分，严格按照标准编制，预算确定资金量与实际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昌吉州美术馆开馆展项目资金的请示》和《昌吉州美术馆开馆展项目实施方案》为依据进行资金分配，预算资金分配依据充分。根据《关于下达昌吉州本级预算单位2023年部门预算的通知》文件显示，本项目实际到位资金70.00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14:paraId="5213B9AA">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59C69D5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本项目预算资金为70.00万元，其中：本级财政安排资金70.00万元，其他资金0.00万元，实际到位资金70.00万元，资金到位率=（实际到位资金/预算资金）×100.00%=（70/70）*100.00%=100%。得分=资金到位率*分值=100%*4=4分。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本项目实际支出资金69.5万元，预算执行率=（实际支出资金/实际到位资金）×100.00%=（69.5/70）*100.00%=99.29%。得分=预算执行率*分值=99.29%*5=5分。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州文化体育广播电视和旅游局资金管理办法》《昌吉州文化体育广播电视和旅游局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昌吉州文化体育广播电视和旅游局资金管理办法》《昌吉州文化体育广播电视和旅游局收支业务管理制度》《昌吉州文化体育广播电视和旅游局政府采购业务管理制度》《昌吉州文化体育广播电视和旅游局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昌吉州美术馆开馆展项目工作领导小组，由马仲强任组长，负责项目的组织工作；徐子成任副组长，负责项目的实施工作；组员包括：潘梦阳，主要负责项目监督管理、验收以及资金核拨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14:paraId="338F636F">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1EE655B8">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项目产出类指标由4个二级指标和4个三级指标构成，权重分30.00分，实际得分30.00分。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“美术作品征集”指标，预期指标值为“大于等于100幅”，实际完成值是244幅，指标完成率为100.00%。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“征集作品展出时长”指标，预期指标值为“大于等于1个月”，实际完成值是1.7个月，指标完成率为100.00%。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“项目完成及时率”指标，预期指标值为“99.5%”，实际完成100%，指标完成率为100.00%。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3.成本指标完成情况分析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“预算成本控制率”指标，预期指标值为“100%”，实际完成100%，指标完成率为100.00%。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p>
    <w:p w14:paraId="057336C2">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30086BD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项目效益类指标由3个二级指标和3个三级指标构成，权重分30.00分，实际得分30.00分。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“满足广大群众的精神文化需要”指标，预期指标值为“满足”，根据昌吉州美术馆群众满意度调查表可知，实际完成值为“满足”，指标完成率为100.00%。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“增加受益群众”指标，预期指标值为“增加”，根据实际参观人数，实际完成值为“增加”，指标完成率为100.00%。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“基层群众对文化服务的满意度”指标，预期指标值为“大于等于90.00%”，收益对象满意度满意度达100.00%，指标完成率为100.00%。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p>
    <w:p w14:paraId="4E1D2BBC">
      <w:pPr>
        <w:spacing w:line="540" w:lineRule="exact"/>
        <w:ind w:firstLine="567"/>
        <w:rPr>
          <w:rStyle w:val="18"/>
          <w:rFonts w:hint="eastAsia" w:ascii="楷体" w:hAnsi="楷体" w:eastAsia="楷体"/>
          <w:spacing w:val="-4"/>
          <w:sz w:val="32"/>
          <w:szCs w:val="32"/>
        </w:rPr>
      </w:pPr>
    </w:p>
    <w:p w14:paraId="502399F9">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预算执行进度与绩效指标偏差</w:t>
      </w:r>
    </w:p>
    <w:p w14:paraId="00D6B4A9">
      <w:pPr>
        <w:spacing w:line="540" w:lineRule="exact"/>
        <w:ind w:firstLine="567"/>
        <w:rPr>
          <w:rStyle w:val="18"/>
          <w:rFonts w:hint="eastAsia" w:ascii="黑体" w:hAnsi="黑体" w:eastAsia="黑体"/>
          <w:b w:val="0"/>
          <w:spacing w:val="-4"/>
          <w:sz w:val="32"/>
          <w:szCs w:val="32"/>
        </w:rPr>
      </w:pPr>
      <w:r>
        <w:rPr>
          <w:rStyle w:val="18"/>
          <w:rFonts w:hint="eastAsia" w:ascii="楷体" w:hAnsi="楷体" w:eastAsia="楷体"/>
          <w:b w:val="0"/>
          <w:bCs w:val="0"/>
          <w:spacing w:val="-4"/>
          <w:sz w:val="32"/>
          <w:szCs w:val="32"/>
        </w:rPr>
        <w:t>本项目年初预算资金总额为70.00万元，全年预算数为70.00万元，全年执行数为69.50万元，预算执行率为99.29%。</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本项目共设置三级指标数量18个，满分指标数量18个，扣分指标数量0个，经分析计算所有三级指标完成率得出，本项目总体完成率为100.00%。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综上所述本项目预算执行进度与总体完成进度之间的偏差为0.71%。主要偏差原因是：本项目预算根据实际情况执行，本着厉行节俭的原则，实际支出略低于预算目标值。</w:t>
      </w:r>
    </w:p>
    <w:p w14:paraId="47DD6AA5">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14511F13">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昌吉州美术馆作为地方美术事业的展示窗口单位，应更好地满足人民群众日益增长的美好生活需要，但美术馆作为新开放展馆，在群众中知名度不高。</w:t>
      </w:r>
    </w:p>
    <w:p w14:paraId="0721E6C2">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七、有关建议</w:t>
      </w:r>
    </w:p>
    <w:p w14:paraId="3A9E6590">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69AB0AEB">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14:paraId="61CECFC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56051F04">
      <w:pPr>
        <w:spacing w:line="540" w:lineRule="exact"/>
        <w:ind w:firstLine="567"/>
        <w:rPr>
          <w:rStyle w:val="18"/>
          <w:rFonts w:hint="eastAsia" w:ascii="仿宋" w:hAnsi="仿宋" w:eastAsia="仿宋"/>
          <w:b w:val="0"/>
          <w:spacing w:val="-4"/>
          <w:sz w:val="32"/>
          <w:szCs w:val="32"/>
        </w:rPr>
      </w:pPr>
    </w:p>
    <w:p w14:paraId="1D83B89E">
      <w:pPr>
        <w:spacing w:line="540" w:lineRule="exact"/>
        <w:ind w:firstLine="567"/>
        <w:rPr>
          <w:rStyle w:val="18"/>
          <w:rFonts w:hint="eastAsia" w:ascii="仿宋" w:hAnsi="仿宋" w:eastAsia="仿宋"/>
          <w:b w:val="0"/>
          <w:spacing w:val="-4"/>
          <w:sz w:val="32"/>
          <w:szCs w:val="32"/>
        </w:rPr>
      </w:pPr>
    </w:p>
    <w:p w14:paraId="614E48E8">
      <w:pPr>
        <w:spacing w:line="540" w:lineRule="exact"/>
        <w:ind w:firstLine="567"/>
        <w:rPr>
          <w:rStyle w:val="18"/>
          <w:rFonts w:hint="eastAsia" w:ascii="仿宋" w:hAnsi="仿宋" w:eastAsia="仿宋"/>
          <w:b w:val="0"/>
          <w:spacing w:val="-4"/>
          <w:sz w:val="32"/>
          <w:szCs w:val="32"/>
        </w:rPr>
      </w:pPr>
    </w:p>
    <w:p w14:paraId="134FDF60">
      <w:pPr>
        <w:spacing w:line="540" w:lineRule="exact"/>
        <w:ind w:firstLine="567"/>
        <w:rPr>
          <w:rStyle w:val="18"/>
          <w:rFonts w:hint="eastAsia" w:ascii="仿宋" w:hAnsi="仿宋" w:eastAsia="仿宋"/>
          <w:b w:val="0"/>
          <w:spacing w:val="-4"/>
          <w:sz w:val="32"/>
          <w:szCs w:val="32"/>
        </w:rPr>
      </w:pPr>
    </w:p>
    <w:p w14:paraId="7A391959">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6042788">
        <w:pPr>
          <w:pStyle w:val="12"/>
          <w:jc w:val="center"/>
        </w:pPr>
        <w:r>
          <w:fldChar w:fldCharType="begin"/>
        </w:r>
        <w:r>
          <w:instrText xml:space="preserve">PAGE   \* MERGEFORMAT</w:instrText>
        </w:r>
        <w:r>
          <w:fldChar w:fldCharType="separate"/>
        </w:r>
        <w:r>
          <w:rPr>
            <w:lang w:val="zh-CN"/>
          </w:rPr>
          <w:t>2</w:t>
        </w:r>
        <w:r>
          <w:fldChar w:fldCharType="end"/>
        </w:r>
      </w:p>
    </w:sdtContent>
  </w:sdt>
  <w:p w14:paraId="386D4919">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1E3905"/>
    <w:rsid w:val="00291BC0"/>
    <w:rsid w:val="00311DBE"/>
    <w:rsid w:val="004366A8"/>
    <w:rsid w:val="00502BA7"/>
    <w:rsid w:val="005162F1"/>
    <w:rsid w:val="00535153"/>
    <w:rsid w:val="00554F82"/>
    <w:rsid w:val="0056390D"/>
    <w:rsid w:val="005719B0"/>
    <w:rsid w:val="005D10D6"/>
    <w:rsid w:val="00855E3A"/>
    <w:rsid w:val="00861792"/>
    <w:rsid w:val="0091457F"/>
    <w:rsid w:val="00922CB9"/>
    <w:rsid w:val="00961132"/>
    <w:rsid w:val="00976B1F"/>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18C1741"/>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8640</Words>
  <Characters>9135</Characters>
  <Lines>80</Lines>
  <Paragraphs>22</Paragraphs>
  <TotalTime>2</TotalTime>
  <ScaleCrop>false</ScaleCrop>
  <LinksUpToDate>false</LinksUpToDate>
  <CharactersWithSpaces>9150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巴霍巴利</cp:lastModifiedBy>
  <cp:lastPrinted>2018-12-31T10:56:00Z</cp:lastPrinted>
  <dcterms:modified xsi:type="dcterms:W3CDTF">2025-05-28T03:10:36Z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