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0A4630">
      <w:pPr>
        <w:spacing w:line="540" w:lineRule="exact"/>
        <w:jc w:val="left"/>
        <w:rPr>
          <w:rFonts w:hint="eastAsia" w:ascii="仿宋" w:hAnsi="仿宋" w:eastAsia="仿宋" w:cs="宋体"/>
          <w:kern w:val="0"/>
          <w:sz w:val="32"/>
          <w:szCs w:val="32"/>
        </w:rPr>
      </w:pPr>
      <w:r>
        <w:rPr>
          <w:rFonts w:hint="eastAsia" w:ascii="仿宋" w:hAnsi="仿宋" w:eastAsia="仿宋" w:cs="宋体"/>
          <w:kern w:val="0"/>
          <w:sz w:val="32"/>
          <w:szCs w:val="32"/>
        </w:rPr>
        <w:t>附件2：</w:t>
      </w:r>
    </w:p>
    <w:p w14:paraId="53334ECB">
      <w:pPr>
        <w:spacing w:line="540" w:lineRule="exact"/>
        <w:jc w:val="center"/>
        <w:rPr>
          <w:rFonts w:hint="eastAsia" w:ascii="华文中宋" w:hAnsi="华文中宋" w:eastAsia="华文中宋" w:cs="宋体"/>
          <w:b/>
          <w:kern w:val="0"/>
          <w:sz w:val="52"/>
          <w:szCs w:val="52"/>
        </w:rPr>
      </w:pPr>
    </w:p>
    <w:p w14:paraId="726293CA">
      <w:pPr>
        <w:spacing w:line="540" w:lineRule="exact"/>
        <w:jc w:val="center"/>
        <w:rPr>
          <w:rFonts w:hint="eastAsia" w:ascii="华文中宋" w:hAnsi="华文中宋" w:eastAsia="华文中宋" w:cs="宋体"/>
          <w:b/>
          <w:kern w:val="0"/>
          <w:sz w:val="52"/>
          <w:szCs w:val="52"/>
        </w:rPr>
      </w:pPr>
    </w:p>
    <w:p w14:paraId="4ACCA89D">
      <w:pPr>
        <w:spacing w:line="540" w:lineRule="exact"/>
        <w:jc w:val="center"/>
        <w:rPr>
          <w:rFonts w:hint="eastAsia" w:ascii="华文中宋" w:hAnsi="华文中宋" w:eastAsia="华文中宋" w:cs="宋体"/>
          <w:b/>
          <w:kern w:val="0"/>
          <w:sz w:val="52"/>
          <w:szCs w:val="52"/>
        </w:rPr>
      </w:pPr>
    </w:p>
    <w:p w14:paraId="286D6F2B">
      <w:pPr>
        <w:spacing w:line="540" w:lineRule="exact"/>
        <w:jc w:val="center"/>
        <w:rPr>
          <w:rFonts w:hint="eastAsia" w:ascii="华文中宋" w:hAnsi="华文中宋" w:eastAsia="华文中宋" w:cs="宋体"/>
          <w:b/>
          <w:kern w:val="0"/>
          <w:sz w:val="52"/>
          <w:szCs w:val="52"/>
        </w:rPr>
      </w:pPr>
    </w:p>
    <w:p w14:paraId="094EA030">
      <w:pPr>
        <w:spacing w:line="540" w:lineRule="exact"/>
        <w:jc w:val="center"/>
        <w:rPr>
          <w:rFonts w:hint="eastAsia" w:ascii="华文中宋" w:hAnsi="华文中宋" w:eastAsia="华文中宋" w:cs="宋体"/>
          <w:b/>
          <w:kern w:val="0"/>
          <w:sz w:val="52"/>
          <w:szCs w:val="52"/>
        </w:rPr>
      </w:pPr>
    </w:p>
    <w:p w14:paraId="28640391">
      <w:pPr>
        <w:spacing w:line="540" w:lineRule="exact"/>
        <w:jc w:val="center"/>
        <w:rPr>
          <w:rFonts w:hint="eastAsia" w:ascii="华文中宋" w:hAnsi="华文中宋" w:eastAsia="华文中宋" w:cs="宋体"/>
          <w:b/>
          <w:kern w:val="0"/>
          <w:sz w:val="52"/>
          <w:szCs w:val="52"/>
        </w:rPr>
      </w:pPr>
    </w:p>
    <w:p w14:paraId="1FE99903">
      <w:pPr>
        <w:spacing w:line="540" w:lineRule="exact"/>
        <w:jc w:val="center"/>
        <w:rPr>
          <w:rFonts w:hint="eastAsia"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5F9FB891">
      <w:pPr>
        <w:spacing w:line="540" w:lineRule="exact"/>
        <w:jc w:val="center"/>
        <w:rPr>
          <w:rFonts w:hint="eastAsia" w:ascii="华文中宋" w:hAnsi="华文中宋" w:eastAsia="华文中宋" w:cs="宋体"/>
          <w:b/>
          <w:kern w:val="0"/>
          <w:sz w:val="52"/>
          <w:szCs w:val="52"/>
        </w:rPr>
      </w:pPr>
    </w:p>
    <w:p w14:paraId="0D788086">
      <w:pPr>
        <w:spacing w:line="540" w:lineRule="exact"/>
        <w:jc w:val="center"/>
        <w:rPr>
          <w:rFonts w:hint="eastAsia"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62E75318">
      <w:pPr>
        <w:spacing w:line="540" w:lineRule="exact"/>
        <w:jc w:val="center"/>
        <w:rPr>
          <w:rFonts w:hint="eastAsia" w:hAnsi="宋体" w:eastAsia="仿宋_GB2312" w:cs="宋体"/>
          <w:kern w:val="0"/>
          <w:sz w:val="30"/>
          <w:szCs w:val="30"/>
        </w:rPr>
      </w:pPr>
    </w:p>
    <w:p w14:paraId="5F6BA552">
      <w:pPr>
        <w:spacing w:line="540" w:lineRule="exact"/>
        <w:jc w:val="center"/>
        <w:rPr>
          <w:rFonts w:hint="eastAsia" w:hAnsi="宋体" w:eastAsia="仿宋_GB2312" w:cs="宋体"/>
          <w:kern w:val="0"/>
          <w:sz w:val="30"/>
          <w:szCs w:val="30"/>
        </w:rPr>
      </w:pPr>
    </w:p>
    <w:p w14:paraId="3FB22051">
      <w:pPr>
        <w:spacing w:line="540" w:lineRule="exact"/>
        <w:jc w:val="center"/>
        <w:rPr>
          <w:rFonts w:hint="eastAsia" w:hAnsi="宋体" w:eastAsia="仿宋_GB2312" w:cs="宋体"/>
          <w:kern w:val="0"/>
          <w:sz w:val="30"/>
          <w:szCs w:val="30"/>
        </w:rPr>
      </w:pPr>
    </w:p>
    <w:p w14:paraId="2F8EA1FD">
      <w:pPr>
        <w:spacing w:line="540" w:lineRule="exact"/>
        <w:jc w:val="center"/>
        <w:rPr>
          <w:rFonts w:hint="eastAsia" w:hAnsi="宋体" w:eastAsia="仿宋_GB2312" w:cs="宋体"/>
          <w:kern w:val="0"/>
          <w:sz w:val="30"/>
          <w:szCs w:val="30"/>
        </w:rPr>
      </w:pPr>
    </w:p>
    <w:p w14:paraId="0DE9233B">
      <w:pPr>
        <w:spacing w:line="540" w:lineRule="exact"/>
        <w:jc w:val="center"/>
        <w:rPr>
          <w:rFonts w:hint="eastAsia" w:hAnsi="宋体" w:eastAsia="仿宋_GB2312" w:cs="宋体"/>
          <w:kern w:val="0"/>
          <w:sz w:val="30"/>
          <w:szCs w:val="30"/>
        </w:rPr>
      </w:pPr>
    </w:p>
    <w:p w14:paraId="43F94A60">
      <w:pPr>
        <w:spacing w:line="540" w:lineRule="exact"/>
        <w:jc w:val="center"/>
        <w:rPr>
          <w:rFonts w:hint="eastAsia" w:hAnsi="宋体" w:eastAsia="仿宋_GB2312" w:cs="宋体"/>
          <w:kern w:val="0"/>
          <w:sz w:val="30"/>
          <w:szCs w:val="30"/>
        </w:rPr>
      </w:pPr>
    </w:p>
    <w:p w14:paraId="4DA72AB4">
      <w:pPr>
        <w:spacing w:line="540" w:lineRule="exact"/>
        <w:rPr>
          <w:rFonts w:hint="eastAsia" w:hAnsi="宋体" w:eastAsia="仿宋_GB2312" w:cs="宋体"/>
          <w:kern w:val="0"/>
          <w:sz w:val="30"/>
          <w:szCs w:val="30"/>
        </w:rPr>
      </w:pPr>
    </w:p>
    <w:p w14:paraId="211E0F76">
      <w:pPr>
        <w:spacing w:line="700" w:lineRule="exact"/>
        <w:jc w:val="left"/>
        <w:rPr>
          <w:rFonts w:hint="eastAsia" w:hAnsi="宋体" w:eastAsia="仿宋_GB2312" w:cs="宋体"/>
          <w:kern w:val="0"/>
          <w:sz w:val="36"/>
          <w:szCs w:val="36"/>
        </w:rPr>
      </w:pPr>
      <w:r>
        <w:rPr>
          <w:rFonts w:hint="eastAsia" w:hAnsi="宋体" w:eastAsia="仿宋_GB2312" w:cs="宋体"/>
          <w:kern w:val="0"/>
          <w:sz w:val="36"/>
          <w:szCs w:val="36"/>
        </w:rPr>
        <w:t xml:space="preserve">     </w:t>
      </w:r>
    </w:p>
    <w:p w14:paraId="1943F411">
      <w:pPr>
        <w:spacing w:line="700" w:lineRule="exact"/>
        <w:ind w:firstLine="900" w:firstLineChars="250"/>
        <w:jc w:val="left"/>
        <w:rPr>
          <w:rFonts w:hint="eastAsia"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昌吉州第五届老年人体育健身交流大会经费</w:t>
      </w:r>
    </w:p>
    <w:p w14:paraId="5EF6ED9E">
      <w:pPr>
        <w:spacing w:line="540" w:lineRule="exact"/>
        <w:ind w:firstLine="567"/>
        <w:rPr>
          <w:rFonts w:hint="eastAsia"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昌吉回族自治州文化体育广播电视和旅游局</w:t>
      </w:r>
    </w:p>
    <w:p w14:paraId="42069E24">
      <w:pPr>
        <w:spacing w:line="540" w:lineRule="exact"/>
        <w:ind w:firstLine="900" w:firstLineChars="250"/>
        <w:rPr>
          <w:rFonts w:hint="eastAsia"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昌吉回族自治州文化体育广播电视和旅游局</w:t>
      </w:r>
    </w:p>
    <w:p w14:paraId="12ED9975">
      <w:pPr>
        <w:spacing w:line="540" w:lineRule="exact"/>
        <w:ind w:firstLine="900" w:firstLineChars="250"/>
        <w:rPr>
          <w:rFonts w:hint="eastAsia"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张新恒</w:t>
      </w:r>
    </w:p>
    <w:p w14:paraId="4024D0D5">
      <w:pPr>
        <w:spacing w:line="540" w:lineRule="exact"/>
        <w:ind w:left="273" w:firstLine="567"/>
        <w:rPr>
          <w:rStyle w:val="18"/>
          <w:rFonts w:hint="eastAsia"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2024年04月16日</w:t>
      </w:r>
    </w:p>
    <w:p w14:paraId="5F6C3F1D">
      <w:pPr>
        <w:spacing w:line="700" w:lineRule="exact"/>
        <w:ind w:firstLine="708" w:firstLineChars="236"/>
        <w:jc w:val="left"/>
        <w:rPr>
          <w:rFonts w:hint="eastAsia" w:hAnsi="宋体" w:eastAsia="仿宋_GB2312" w:cs="宋体"/>
          <w:kern w:val="0"/>
          <w:sz w:val="30"/>
          <w:szCs w:val="30"/>
        </w:rPr>
      </w:pPr>
    </w:p>
    <w:p w14:paraId="56BE1D2A">
      <w:pPr>
        <w:spacing w:line="540" w:lineRule="exact"/>
        <w:rPr>
          <w:rStyle w:val="18"/>
          <w:rFonts w:hint="eastAsia" w:ascii="黑体" w:hAnsi="黑体" w:eastAsia="黑体"/>
          <w:b w:val="0"/>
          <w:spacing w:val="-4"/>
          <w:sz w:val="32"/>
          <w:szCs w:val="32"/>
        </w:rPr>
      </w:pPr>
    </w:p>
    <w:p w14:paraId="5671C819">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一、基本情况</w:t>
      </w:r>
    </w:p>
    <w:p w14:paraId="661639E0">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（一）项目概况。</w:t>
      </w:r>
    </w:p>
    <w:p w14:paraId="7DB73B8F">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国家、自治区《全民健身计划(2021-2025年)？》文件指出：广泛开展全民健身赛事活动，提高健身设施适老化程度，研究推广适合老年人的体育健身休闲项目，组织开展适合老年人的赛事活动。为了贯彻上述文件精神，为促进全民健身更高水平发展，更好满足人民群众的健身和健康需求，2023年我单位计划实施此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根据文件要求，通过举办昌吉州第五届老年人体育健身交流大会，推动昌吉州体育事业发展，促进群众参加体育锻炼积极性，加快体育强州建设。</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（1）项目名称：昌吉州第五届老年人体育健身交流大会经费项目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项目的实施以习近平总书记“全民健身是全体人民增强体魄，健康生活的基础保障，人民身体健康是全面建成小康社会的重要内涵，是每一个人成长和实现幸福生活的重要基础”讲话为基点。大力繁荣和发展昌吉州文化体育事业，增进老年人身心健康，推动社会进一步和谐发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实施主体：昌吉州文化体育广播电视和旅游局。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实施时间：本项目于2023年8月10日开始实施，截止2023年8月13日已全部完成。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情况：经州人民政府同意，于2023年8月10日-13日在木垒县举办昌吉州第五届老年人体育健身交流大会，活动由州人民政府主办，木垒县委、人民政府等部门承办，比赛设有竞赛项目7个、表演类项目6个，参加人数约1000人，活动经费支出50.00万元。通过举办昌吉州第五届老年人体育健身交流大会，推动昌吉州老年人体育事业发展，促进人民群众参加全民健身活动，加快体育强州建设。</w:t>
      </w:r>
    </w:p>
    <w:p w14:paraId="7974E072">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（二）项目绩效目标</w:t>
      </w:r>
    </w:p>
    <w:p w14:paraId="13D36D3A">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本届健身交流活动在构建公共体育服务体系、增进民族团结、丰富老年人文化体育生活等反面发挥积极作用，进一步推动我州老年人体育事业健康持续、高质量发展。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“比赛项目”指标，预期指标值为“大于等于5项”；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“参赛代表团数量”指标，预期指标值为“大于等于5个”；</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“比赛项目完成率”指标，预期指标值为“大于等于90.00%”；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“项目完成及时率”指标，预期指标为“大于等于90.00%”；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“项目成本控制率”指标，预期指标为“小于等于100.00%”；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③生态环境成本指标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“进一步推动我州老年人体育事业健康持续、高质量发展”指标，预期指标为“推动”；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“丰富老年人文化体育生活”指标，预期指标为“丰富”；</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③可持续影响指标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（4）相关满意度目标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p>
    <w:p w14:paraId="31120EA2">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1CC8180C">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434F4ADE">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此次我单位根据《财政支出绩效评价管理暂行办法》（财预〔2020〕10号）文件要求实施评价工作，本次评价对象为举办昌吉州第五届老年人体育健身交流大会项目，评价核心为项目资金、项目产出、项目效益。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53F7FD90">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6BC77220">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正确的评价方法是评价工作顺利开展的保障，在结合实际经验的情况下，绩效评价小组根据该项目资金的性质和特点，选用比较法、公众评判法以及文献法对项目进行评价，旨在通过综合分析影响绩效目标实现、实施效果的内外部因素，从而评价本项目绩效。三级指标分析环节：总体采用比较法，同时辅以文献法</w:t>
      </w:r>
      <w:bookmarkStart w:id="0" w:name="_GoBack"/>
      <w:bookmarkEnd w:id="0"/>
      <w:r>
        <w:rPr>
          <w:rStyle w:val="18"/>
          <w:rFonts w:hint="eastAsia" w:ascii="楷体" w:hAnsi="楷体" w:eastAsia="楷体"/>
          <w:b w:val="0"/>
          <w:bCs w:val="0"/>
          <w:spacing w:val="-4"/>
          <w:sz w:val="32"/>
          <w:szCs w:val="32"/>
        </w:rPr>
        <w:t>以及公众评判法。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5D721648">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14:paraId="7CCDAE48">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于2024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王艳华（昌吉州文化体育广播电视和旅游局党组书记）任评价组组长，绩效评价工作职责为检查项目绩效指标完成情况、审定项目支出绩效评价结果及项目支出绩效评价报告。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祁惠荣（昌吉州文化体育广播电视和旅游局二级调研员）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刘传奇（昌吉州文化体育广播电视和旅游局体育科科长）任评价组成员，绩效评价工作职责为做好项目支出绩效评价工作的沟通协调工作，对项目实施情况进行实地调查，编写项目支出绩效评价报告。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2024年3月5日-3月10日，评价工作进入实施阶段。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数据采集方面，评价小组项目负责人、财务人员进行访谈沟通，全面了解项目实施的目的、预算安排、实施内容、组织管理、实施结果等方面的内容；全面收集项目决策过程、资金使用管理、制度建设与执行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质量管理、项目建设及验收等相关资料，完成绩效评价内容所需的印证资料整理，所有数据经核查后统计汇总。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2024年3月11日-15日，评价小组按照绩效评价的原则和规范，对取得的资料进行审查核实，对采集的数据进行分析，按照绩效评价指标评分表逐项进行打分、分析、汇总各方评价结果。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4.撰写与提交评价报告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2024年3月16日-20日，评价小组撰写绩效评价报告，按照新疆维吾尔自治区财政绩效管理信息系统绩效评价模块中统一格式和文本框架撰写绩效评价报告并提交审核。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5.问题整改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6.档案整理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79A3F019">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213ED74F">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本项目达成年初设立的绩效目标，在实施过程中取得了良好的成效，具体表现在通过举办昌吉州第五届老年人健身交流活动项目的实施，解决了增进老年人身心健康，该项目预算执行率达100.00%，项目预期绩效目标及各项具体指标均已全部达成。但在实施过程中也存在一些不足：实施过程监督不足，持续完善档案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本项目共设置三级指标数量18个，实现三级指标数量18个，总体完成率为100.00%。最终评分结果：总分为100.00分，绩效评级为“优”。综合评价结论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项目决策类指标共设置6个，满分指标6个，得分率100.00%；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过程管理类指标共设置5个，满分指标5个，得分率100.00%；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项目产出类指标共设置5个，满分指标5个，得分率100.00%；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项目效益类指标共设置2个，满分指标2个，得分率100.00%。</w:t>
      </w:r>
    </w:p>
    <w:p w14:paraId="02D6BEA8">
      <w:pPr>
        <w:spacing w:line="540" w:lineRule="exact"/>
        <w:ind w:firstLine="640"/>
        <w:rPr>
          <w:rStyle w:val="18"/>
          <w:rFonts w:hint="eastAsia"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035CD50D">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1B661909">
      <w:pPr>
        <w:tabs>
          <w:tab w:val="center" w:pos="4295"/>
        </w:tabs>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1.项目立项情况分析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立项符合《全民健身计划（2021-2025年）》中：“广泛开展全民健身赛事活动”内容，符合行业发展规划和政策要求；本项目立项符合《昌吉回族自治州文化体育广播电视和旅游局单位配置内设机构和人员编制规定》中职责范围中的“统筹规划全州竞技体育发展，设置体育运动项目，指导协调体育训练和体育竞赛”，属于我单位履职所需；根据《财政资金直接支付申请书》，本项目资金性质为“公共财政预算”功能分类为“群众体育”经济分类为“费用补贴”属于公共财政支持范围，符合中央、地方事权支出责任划分原则；经检查我单位财政应用平台指标，本项目不存在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综上所述，本指标满分为5.00分，根据评分标准得5.00分，本项目立项依据充分。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本项目为非基础建设类项目，属于专项资金安排项目，不涉及事前绩效评估、可行性研究以及风险评估，由我单位严格按照《全民健身计划（2021-2025年）》文件要求实施项目。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综上所述，本指标满分为3.00分，根据评分标准得3.00分，本项目立项程序规范。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已设置年度绩效目标，具体内容为“本届健身交流活动在构建公共体育服务体系、增进民族团结、丰富老年人文化体育生活等方面发挥积极作用，进一步推动我州老年人体育事业健康持续、高质量发展”；本项目实际工作内容为：举办昌吉州第五届老年人体育健身交流大会；绩效目标与实际工作内容一致，两者具有相关性;本项目按照绩效目标完成了数量指标、质量指标、时效指标、成本指标，年度绩效目标完成，预期产出效益和效果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综上所述，本指标满分为4.00分，根据评分标准得4.00分，本项目绩效目标设置合理。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3个，二级指标5个，三级指标7个，定量指标5个，定性指标2个，指标量化率为71.42%，量化率达70.00%以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综上所述，本指标满分为3.00分，根据评分标准得3.00分，本项目所设置绩效指标明确。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（1）预算编制科学性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本项目预算编制通过往年支出情况结合本年度赛事计划得出，即预算编制较科学且经过论证；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申请内容为举办昌吉州第五届老年人体育健身交流大会，项目实际内容为举办昌吉州第五届老年人体育健身交流大会。本项目预算申请资金50.00万元，我单位在预算申请中严格按照单位标准和数量进行核算。本项目预算额度测算依据充分，严格按照标准编制，预算确定资金量与实际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综上所述，本指标满分为4.00分，根据评分标准4.00分，本项目预算编制科学。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分配资金以《关于下达昌吉州本级预算单位2023年部门预算的通知》（昌州党财【2023】1号）为依据进行资金分配，预算资金分配依据充分。《关于下达昌吉州本级预算单位2023年部门预算的通知》（昌州党财【2023】1号）文件显示，本项目实际到位资金50.00万元，实际分配资金与我单位提交申请的资金额度一致，资金分配额度合理，与我单位实际需求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综上所述，本指标满分为2.00分，根据评分标准得2.00分，本项目资金分配合理。</w:t>
      </w:r>
      <w:r>
        <w:rPr>
          <w:rStyle w:val="18"/>
          <w:rFonts w:hint="eastAsia" w:ascii="楷体" w:hAnsi="楷体" w:eastAsia="楷体"/>
          <w:b w:val="0"/>
          <w:bCs w:val="0"/>
          <w:spacing w:val="-4"/>
          <w:sz w:val="32"/>
          <w:szCs w:val="32"/>
        </w:rPr>
        <w:tab/>
      </w:r>
    </w:p>
    <w:p w14:paraId="36DB396A">
      <w:pPr>
        <w:spacing w:line="540" w:lineRule="exact"/>
        <w:ind w:firstLine="567" w:firstLineChars="181"/>
        <w:rPr>
          <w:rStyle w:val="18"/>
          <w:rFonts w:hint="eastAsia"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13366938">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1.资金管理情况分析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本项目预算资金为50.00万元，其中：本级财政安排资金50.00万元，其他资金0.00万元，实际到位资金50.00万元，资金到位率100.00%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综上所述，本指标满分为4.00分，根据评分标准得4.00分，本项目资金分配合理。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本项目实际支出资金50.00万元，预算执行率100.00%。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综上所述，本指标满分为5.00分，根据评分标准得5.00分，本项目资金分配合理。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以及《财务管理制度》《公务卡管理制度》《公务接待管理制度》《合同管理制度》《资产管理制度》《厉行节约工作制度》等管理制度，资金的拨付有完整的审批程序和手续，资金实际使用方向与预算批复用途一致，不存在截留、挤占、挪用、虚列支出的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综上所述，本指标满分为4.00分，根据评分标准得4.00分，资金支出符合我单位财务管理制度规定。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（1）管理制度健全性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制定了《财务管理制度》《公务卡管理制度》《公务接待管理制度》《合同管理制度》《资产管理制度》《厉行节约工作制度》等管理制度，上述已建立的制度均符合行政事业单位内控管理要求，财务和业务管理制度合法、合规、完整，本项目执行符合上述制度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综上所述，本指标满分为2.00分，根据评分标准得2.00分，项目制度建设健全。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（2）制度执行有效性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对比分析本项目实际执行过程资料和已建立的项目管理制度和财务管理制度，得出本项目严格按照本单位已建立制度执行。项目资金支出严格按照自治区、地区以及本单位资金管理办法执行，项目启动实施后，为了加快本项目的实施，成立了昌吉州第五届老年人体育健身交流大会项目工作领导小组，由党组书记王艳华任组长，负责项目的组织工作；高婷婷任副组长，负责项目的实施工作；组员刘传奇，主要负责项目监督管理、验收以及资金核拨等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综上所述，本指标满分为4.00分，根据评分标准得4.00分，本项目所建立制度执行有效。</w:t>
      </w:r>
    </w:p>
    <w:p w14:paraId="296F5313">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2ED2CF8D">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1.数量指标完成情况分析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“比赛项目”指标：预期指标值为“大于等于5项”，实际完成指标值为“5项”，指标完成率为100.00%。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“参赛代表团数量”指标，预期指标值为“大于等于5个”实际完成指标值为“5个”指标完成率为100.00%。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“比赛项目完成率”指标：预期指标值为“大于等于90.00%”，实际完成指标值为“100.00%”，指标完成率为100.00%。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“比赛完成及时率”指标：预期指标值为“大于等于90.00%”，实际完成指标值为“100.00%”，指标完成率为100.00%。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4.成本指标完成情况分析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“项目成本控制率”指标：预期指标值为“小于等于100.00%”，实际完成指标值为“100.00%”，指标完成率为100.00%。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综上所述，本指标满分为10.00分，根据评分标准得10.00分。</w:t>
      </w:r>
    </w:p>
    <w:p w14:paraId="68713148">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597C87EC">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1.经济效益完成情况分析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“进一步推动我州老年人体育事业健康持续、高质量发展”指标，预期指标值为“推动”，实际完成值为“基本达成目标”，指标完成率为100.00%。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综上所述，本指标满分为15.00分，根据评分标准得15.00分。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“丰富老年人文化体育生活”指标，预期指标值为“丰富”，根据报告可知，实际完成值为“基本达成目标”，指标完成率为100.00%。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综上所述，本指标满分为15.00分，根据评分标准得15.00分。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本项目无该项指标。</w:t>
      </w:r>
    </w:p>
    <w:p w14:paraId="197750BD">
      <w:pPr>
        <w:spacing w:line="540" w:lineRule="exact"/>
        <w:ind w:firstLine="567"/>
        <w:rPr>
          <w:rStyle w:val="18"/>
          <w:rFonts w:hint="eastAsia" w:ascii="楷体" w:hAnsi="楷体" w:eastAsia="楷体"/>
          <w:spacing w:val="-4"/>
          <w:sz w:val="32"/>
          <w:szCs w:val="32"/>
        </w:rPr>
      </w:pPr>
    </w:p>
    <w:p w14:paraId="11611AA2">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预算执行进度与绩效指标偏差</w:t>
      </w:r>
    </w:p>
    <w:p w14:paraId="554786A0">
      <w:pPr>
        <w:spacing w:line="540" w:lineRule="exact"/>
        <w:ind w:firstLine="567"/>
        <w:rPr>
          <w:rStyle w:val="18"/>
          <w:rFonts w:hint="eastAsia" w:ascii="黑体" w:hAnsi="黑体" w:eastAsia="黑体"/>
          <w:b w:val="0"/>
          <w:spacing w:val="-4"/>
          <w:sz w:val="32"/>
          <w:szCs w:val="32"/>
        </w:rPr>
      </w:pPr>
      <w:r>
        <w:rPr>
          <w:rStyle w:val="18"/>
          <w:rFonts w:hint="eastAsia" w:ascii="楷体" w:hAnsi="楷体" w:eastAsia="楷体"/>
          <w:b w:val="0"/>
          <w:bCs w:val="0"/>
          <w:spacing w:val="-4"/>
          <w:sz w:val="32"/>
          <w:szCs w:val="32"/>
        </w:rPr>
        <w:t>本项目年初预算资金总额为50.00万元，全年预算数为50.00万元，全年执行数为50.00万元，预算执行率为100.00%。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本项目共设置三级指标数量18个，满分指标数量18个，扣分指标数量0个，经分析计算所有三级指标完成率得出，本项目总体完成率为100.00%。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综上所述本项目预算执行进度与总体完成进度之间的偏差为0.00%。</w:t>
      </w:r>
    </w:p>
    <w:p w14:paraId="340496CC">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2F19CE73">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为有效推进项目工作开展，提高财政资金使用效益，项目领导小组进一步强化项目意识，建立健全奖励扶助经费管理制度，抓好具体落实，确保了项目按时保质完成，保障了项目效益发挥。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通过举办昌吉州老年人体育健身交流大会，推动昌吉州老年人体育事业发展，促进人民群众参加全民健身活动，加快体育强州建设。</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对比赛后续工作重视程度不高，不注重关键时间节点材料的鉴定归档，应当在赛后通过问卷调查、访谈等方式，了解老年人对赛事的感受和建议，这些意见将为我们未来改进工作提供指导。</w:t>
      </w:r>
    </w:p>
    <w:p w14:paraId="0C11F06A">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七、有关建议</w:t>
      </w:r>
    </w:p>
    <w:p w14:paraId="2740D5CC">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 xml:space="preserve">一是进一步完善项目评价资料。项目启动时同步做好档案的归纳与整理，及时整理、收集、汇总，健全档案资料。二是严格落实自治区关于绩效管理工作档案资料归档的相关要求，强化收集力度，确保归档资料的完整齐全。三是高度重视，加强领导，精心组织。项目绩效领导小组对绩效评价工作进行指导、监督、检查，确保项目绩效评价反映项目完成真实情况。严格执行项目绩效评价工作要求，切实提高项目绩效报告的客观性和公正性。 </w:t>
      </w:r>
    </w:p>
    <w:p w14:paraId="7D56AAED">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八、其他需要说明的问题</w:t>
      </w:r>
    </w:p>
    <w:p w14:paraId="00E852AB">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（二）我单位对上述项目支出绩效评价报告内反映内容的真实性、完整性负责，接受上级部门及社会公众监督。</w:t>
      </w:r>
    </w:p>
    <w:p w14:paraId="6BB8144E">
      <w:pPr>
        <w:spacing w:line="540" w:lineRule="exact"/>
        <w:ind w:firstLine="567"/>
        <w:rPr>
          <w:rStyle w:val="18"/>
          <w:rFonts w:hint="eastAsia" w:ascii="仿宋" w:hAnsi="仿宋" w:eastAsia="仿宋"/>
          <w:b w:val="0"/>
          <w:spacing w:val="-4"/>
          <w:sz w:val="32"/>
          <w:szCs w:val="32"/>
        </w:rPr>
      </w:pPr>
    </w:p>
    <w:p w14:paraId="0FEFD84B">
      <w:pPr>
        <w:spacing w:line="540" w:lineRule="exact"/>
        <w:ind w:firstLine="567"/>
        <w:rPr>
          <w:rStyle w:val="18"/>
          <w:rFonts w:hint="eastAsia" w:ascii="仿宋" w:hAnsi="仿宋" w:eastAsia="仿宋"/>
          <w:b w:val="0"/>
          <w:spacing w:val="-4"/>
          <w:sz w:val="32"/>
          <w:szCs w:val="32"/>
        </w:rPr>
      </w:pPr>
    </w:p>
    <w:p w14:paraId="7F498019">
      <w:pPr>
        <w:spacing w:line="540" w:lineRule="exact"/>
        <w:ind w:firstLine="567"/>
        <w:rPr>
          <w:rStyle w:val="18"/>
          <w:rFonts w:hint="eastAsia" w:ascii="仿宋" w:hAnsi="仿宋" w:eastAsia="仿宋"/>
          <w:b w:val="0"/>
          <w:spacing w:val="-4"/>
          <w:sz w:val="32"/>
          <w:szCs w:val="32"/>
        </w:rPr>
      </w:pPr>
    </w:p>
    <w:p w14:paraId="41C42A88">
      <w:pPr>
        <w:spacing w:line="540" w:lineRule="exact"/>
        <w:ind w:firstLine="567"/>
        <w:rPr>
          <w:rStyle w:val="18"/>
          <w:rFonts w:hint="eastAsia" w:ascii="仿宋" w:hAnsi="仿宋" w:eastAsia="仿宋"/>
          <w:b w:val="0"/>
          <w:spacing w:val="-4"/>
          <w:sz w:val="32"/>
          <w:szCs w:val="32"/>
        </w:rPr>
      </w:pPr>
    </w:p>
    <w:p w14:paraId="1DA0692B">
      <w:pPr>
        <w:spacing w:line="540" w:lineRule="exact"/>
        <w:ind w:firstLine="567"/>
        <w:rPr>
          <w:rStyle w:val="18"/>
          <w:rFonts w:hint="eastAsia"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3A4C993C">
        <w:pPr>
          <w:pStyle w:val="12"/>
          <w:jc w:val="center"/>
        </w:pPr>
        <w:r>
          <w:fldChar w:fldCharType="begin"/>
        </w:r>
        <w:r>
          <w:instrText xml:space="preserve">PAGE   \* MERGEFORMAT</w:instrText>
        </w:r>
        <w:r>
          <w:fldChar w:fldCharType="separate"/>
        </w:r>
        <w:r>
          <w:rPr>
            <w:lang w:val="zh-CN"/>
          </w:rPr>
          <w:t>2</w:t>
        </w:r>
        <w:r>
          <w:fldChar w:fldCharType="end"/>
        </w:r>
      </w:p>
    </w:sdtContent>
  </w:sdt>
  <w:p w14:paraId="279F60CD">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24EFD"/>
    <w:rsid w:val="00146AAD"/>
    <w:rsid w:val="00151FA7"/>
    <w:rsid w:val="001B3A40"/>
    <w:rsid w:val="00291BC0"/>
    <w:rsid w:val="00311DBE"/>
    <w:rsid w:val="004366A8"/>
    <w:rsid w:val="00502BA7"/>
    <w:rsid w:val="005162F1"/>
    <w:rsid w:val="00535153"/>
    <w:rsid w:val="00554F82"/>
    <w:rsid w:val="0056390D"/>
    <w:rsid w:val="005719B0"/>
    <w:rsid w:val="005D10D6"/>
    <w:rsid w:val="007122A1"/>
    <w:rsid w:val="00855E3A"/>
    <w:rsid w:val="0091457F"/>
    <w:rsid w:val="00922CB9"/>
    <w:rsid w:val="00961132"/>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55E87"/>
    <w:rsid w:val="00E769FE"/>
    <w:rsid w:val="00EA2CBE"/>
    <w:rsid w:val="00F32FEE"/>
    <w:rsid w:val="00FB10BB"/>
    <w:rsid w:val="0856517C"/>
    <w:rsid w:val="0BFB189F"/>
    <w:rsid w:val="11BD75F7"/>
    <w:rsid w:val="13BE561A"/>
    <w:rsid w:val="15392994"/>
    <w:rsid w:val="18FE139B"/>
    <w:rsid w:val="3029612C"/>
    <w:rsid w:val="32A221C5"/>
    <w:rsid w:val="33F20F2A"/>
    <w:rsid w:val="34C44675"/>
    <w:rsid w:val="381F436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uiPriority w:val="10"/>
    <w:rPr>
      <w:rFonts w:asciiTheme="majorHAnsi" w:hAnsiTheme="majorHAnsi" w:eastAsiaTheme="majorEastAsia"/>
      <w:b/>
      <w:bCs/>
      <w:kern w:val="28"/>
      <w:sz w:val="32"/>
      <w:szCs w:val="32"/>
    </w:rPr>
  </w:style>
  <w:style w:type="character" w:customStyle="1" w:styleId="30">
    <w:name w:val="副标题 字符"/>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6955</Words>
  <Characters>7399</Characters>
  <Lines>61</Lines>
  <Paragraphs>17</Paragraphs>
  <TotalTime>2</TotalTime>
  <ScaleCrop>false</ScaleCrop>
  <LinksUpToDate>false</LinksUpToDate>
  <CharactersWithSpaces>7414</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巴霍巴利</cp:lastModifiedBy>
  <cp:lastPrinted>2018-12-31T10:56:00Z</cp:lastPrinted>
  <dcterms:modified xsi:type="dcterms:W3CDTF">2025-05-28T03:10:16Z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C734C92AAAF24344A0E4232D8EB3359B</vt:lpwstr>
  </property>
</Properties>
</file>