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F7C20">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1D99D9A1">
      <w:pPr>
        <w:spacing w:line="540" w:lineRule="exact"/>
        <w:jc w:val="center"/>
        <w:rPr>
          <w:rFonts w:hint="eastAsia" w:ascii="华文中宋" w:hAnsi="华文中宋" w:eastAsia="华文中宋" w:cs="宋体"/>
          <w:b/>
          <w:kern w:val="0"/>
          <w:sz w:val="52"/>
          <w:szCs w:val="52"/>
        </w:rPr>
      </w:pPr>
    </w:p>
    <w:p w14:paraId="323EAE96">
      <w:pPr>
        <w:spacing w:line="540" w:lineRule="exact"/>
        <w:jc w:val="center"/>
        <w:rPr>
          <w:rFonts w:hint="eastAsia" w:ascii="华文中宋" w:hAnsi="华文中宋" w:eastAsia="华文中宋" w:cs="宋体"/>
          <w:b/>
          <w:kern w:val="0"/>
          <w:sz w:val="52"/>
          <w:szCs w:val="52"/>
        </w:rPr>
      </w:pPr>
    </w:p>
    <w:p w14:paraId="29BC73B4">
      <w:pPr>
        <w:spacing w:line="540" w:lineRule="exact"/>
        <w:jc w:val="center"/>
        <w:rPr>
          <w:rFonts w:hint="eastAsia" w:ascii="华文中宋" w:hAnsi="华文中宋" w:eastAsia="华文中宋" w:cs="宋体"/>
          <w:b/>
          <w:kern w:val="0"/>
          <w:sz w:val="52"/>
          <w:szCs w:val="52"/>
        </w:rPr>
      </w:pPr>
    </w:p>
    <w:p w14:paraId="3DAF979C">
      <w:pPr>
        <w:spacing w:line="540" w:lineRule="exact"/>
        <w:jc w:val="center"/>
        <w:rPr>
          <w:rFonts w:hint="eastAsia" w:ascii="华文中宋" w:hAnsi="华文中宋" w:eastAsia="华文中宋" w:cs="宋体"/>
          <w:b/>
          <w:kern w:val="0"/>
          <w:sz w:val="52"/>
          <w:szCs w:val="52"/>
        </w:rPr>
      </w:pPr>
    </w:p>
    <w:p w14:paraId="1457FFA3">
      <w:pPr>
        <w:spacing w:line="540" w:lineRule="exact"/>
        <w:jc w:val="center"/>
        <w:rPr>
          <w:rFonts w:hint="eastAsia" w:ascii="华文中宋" w:hAnsi="华文中宋" w:eastAsia="华文中宋" w:cs="宋体"/>
          <w:b/>
          <w:kern w:val="0"/>
          <w:sz w:val="52"/>
          <w:szCs w:val="52"/>
        </w:rPr>
      </w:pPr>
    </w:p>
    <w:p w14:paraId="0EF6BA07">
      <w:pPr>
        <w:spacing w:line="540" w:lineRule="exact"/>
        <w:jc w:val="center"/>
        <w:rPr>
          <w:rFonts w:hint="eastAsia" w:ascii="华文中宋" w:hAnsi="华文中宋" w:eastAsia="华文中宋" w:cs="宋体"/>
          <w:b/>
          <w:kern w:val="0"/>
          <w:sz w:val="52"/>
          <w:szCs w:val="52"/>
        </w:rPr>
      </w:pPr>
    </w:p>
    <w:p w14:paraId="2A4B5FA8">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8A183F4">
      <w:pPr>
        <w:spacing w:line="540" w:lineRule="exact"/>
        <w:jc w:val="center"/>
        <w:rPr>
          <w:rFonts w:hint="eastAsia" w:ascii="华文中宋" w:hAnsi="华文中宋" w:eastAsia="华文中宋" w:cs="宋体"/>
          <w:b/>
          <w:kern w:val="0"/>
          <w:sz w:val="52"/>
          <w:szCs w:val="52"/>
        </w:rPr>
      </w:pPr>
    </w:p>
    <w:p w14:paraId="574FEBE6">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3019C29A">
      <w:pPr>
        <w:spacing w:line="540" w:lineRule="exact"/>
        <w:jc w:val="center"/>
        <w:rPr>
          <w:rFonts w:hint="eastAsia" w:hAnsi="宋体" w:eastAsia="仿宋_GB2312" w:cs="宋体"/>
          <w:kern w:val="0"/>
          <w:sz w:val="30"/>
          <w:szCs w:val="30"/>
        </w:rPr>
      </w:pPr>
    </w:p>
    <w:p w14:paraId="674B64EF">
      <w:pPr>
        <w:spacing w:line="540" w:lineRule="exact"/>
        <w:jc w:val="center"/>
        <w:rPr>
          <w:rFonts w:hint="eastAsia" w:hAnsi="宋体" w:eastAsia="仿宋_GB2312" w:cs="宋体"/>
          <w:kern w:val="0"/>
          <w:sz w:val="30"/>
          <w:szCs w:val="30"/>
        </w:rPr>
      </w:pPr>
    </w:p>
    <w:p w14:paraId="526C209B">
      <w:pPr>
        <w:spacing w:line="540" w:lineRule="exact"/>
        <w:jc w:val="center"/>
        <w:rPr>
          <w:rFonts w:hint="eastAsia" w:hAnsi="宋体" w:eastAsia="仿宋_GB2312" w:cs="宋体"/>
          <w:kern w:val="0"/>
          <w:sz w:val="30"/>
          <w:szCs w:val="30"/>
        </w:rPr>
      </w:pPr>
    </w:p>
    <w:p w14:paraId="192BB6D9">
      <w:pPr>
        <w:spacing w:line="540" w:lineRule="exact"/>
        <w:jc w:val="center"/>
        <w:rPr>
          <w:rFonts w:hint="eastAsia" w:hAnsi="宋体" w:eastAsia="仿宋_GB2312" w:cs="宋体"/>
          <w:kern w:val="0"/>
          <w:sz w:val="30"/>
          <w:szCs w:val="30"/>
        </w:rPr>
      </w:pPr>
    </w:p>
    <w:p w14:paraId="3D1262D2">
      <w:pPr>
        <w:spacing w:line="540" w:lineRule="exact"/>
        <w:jc w:val="center"/>
        <w:rPr>
          <w:rFonts w:hint="eastAsia" w:hAnsi="宋体" w:eastAsia="仿宋_GB2312" w:cs="宋体"/>
          <w:kern w:val="0"/>
          <w:sz w:val="30"/>
          <w:szCs w:val="30"/>
        </w:rPr>
      </w:pPr>
    </w:p>
    <w:p w14:paraId="0565F0C7">
      <w:pPr>
        <w:spacing w:line="540" w:lineRule="exact"/>
        <w:jc w:val="center"/>
        <w:rPr>
          <w:rFonts w:hint="eastAsia" w:hAnsi="宋体" w:eastAsia="仿宋_GB2312" w:cs="宋体"/>
          <w:kern w:val="0"/>
          <w:sz w:val="30"/>
          <w:szCs w:val="30"/>
        </w:rPr>
      </w:pPr>
    </w:p>
    <w:p w14:paraId="32D2B7A5">
      <w:pPr>
        <w:spacing w:line="540" w:lineRule="exact"/>
        <w:rPr>
          <w:rFonts w:hint="eastAsia" w:hAnsi="宋体" w:eastAsia="仿宋_GB2312" w:cs="宋体"/>
          <w:kern w:val="0"/>
          <w:sz w:val="30"/>
          <w:szCs w:val="30"/>
        </w:rPr>
      </w:pPr>
    </w:p>
    <w:p w14:paraId="58DBF501">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09530CD2">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2023年非物质文化遗产保护专项资金</w:t>
      </w:r>
    </w:p>
    <w:p w14:paraId="521F8584">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昌吉回族自治州文化馆</w:t>
      </w:r>
    </w:p>
    <w:p w14:paraId="1E51FFC2">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昌吉回族自治州文化馆</w:t>
      </w:r>
    </w:p>
    <w:p w14:paraId="4ACD710B">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杨永睿</w:t>
      </w:r>
    </w:p>
    <w:p w14:paraId="46769C58">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2024年03月14日</w:t>
      </w:r>
    </w:p>
    <w:p w14:paraId="4F58C4A5">
      <w:pPr>
        <w:spacing w:line="700" w:lineRule="exact"/>
        <w:ind w:firstLine="708" w:firstLineChars="236"/>
        <w:jc w:val="left"/>
        <w:rPr>
          <w:rFonts w:hint="eastAsia" w:hAnsi="宋体" w:eastAsia="仿宋_GB2312" w:cs="宋体"/>
          <w:kern w:val="0"/>
          <w:sz w:val="30"/>
          <w:szCs w:val="30"/>
        </w:rPr>
      </w:pPr>
    </w:p>
    <w:p w14:paraId="1B7CBE44">
      <w:pPr>
        <w:spacing w:line="540" w:lineRule="exact"/>
        <w:rPr>
          <w:rStyle w:val="18"/>
          <w:rFonts w:hint="eastAsia" w:ascii="黑体" w:hAnsi="黑体" w:eastAsia="黑体"/>
          <w:b w:val="0"/>
          <w:spacing w:val="-4"/>
          <w:sz w:val="32"/>
          <w:szCs w:val="32"/>
        </w:rPr>
      </w:pPr>
    </w:p>
    <w:p w14:paraId="1B9C05C1">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B9588CA">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42AD98C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提前下达2023年度中央非物质文化遗产保护专项资金预算的通知》昌州财教【2022】66号、《关于提前下达2023年度自治区非物质文化遗产保护专项资金预算的通知》昌州财教【2022】67号文件要求，对国家级非遗代表性项目“新疆社火”拨付项目补助费主要用于补助“新疆社火”项目研究出版、展示展演和宣传普及等支出；自治区级非遗代表性传承人补助费，用于补助代表性传承人开展授徒、传艺、交流等传承活动的支出。对国家级非遗代表性项目“新疆社火”拨付项目补助费14.00万元，对20名自治区非遗代表性传承人以5000 元/年的标准拨付补助费共计10.00万元。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（1）项目名称：2023年非物质文化遗产保护专项资金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对国家级非遗代表性项目“新疆社火”拨付项目补助费主要用于补助“新疆社火”项目研究出版、展示展演和宣传普及等支出；自治区级非遗代表性传承人补助费，用于补助代表性传承人开展授徒、传艺、交流等传承活动的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本项目于2023年1月开始实施，截止2023年12月已全部完成，通过本项目的实施，提升了传承人的积极性，促进了我州非物质文化遗产项目的保护、传承和发展。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实施主体：昌吉回族自治州文化馆（州非遗中心）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本项目于2023年1月开始实施，截止2023年12月已全部完成，通过本项目的实施，补助国家级非遗代表性项目1个，国家级非遗代表性项目保护工作年度任务完成率达到100%，国家级非遗代表性项目保护工作年度任务完成及时率达到100%，非遗保护传承受益公众增长率达到8%，社会参与非遗保护与传承增长率达到8%，提升了传承人的积极性，促进了我州非物质文化遗产项目的保护、传承和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文化艺术活动的研究，指导、组织、辅导群众文化活动，传播科学文化知识“群众文化艺术场所的提供与管理，文化艺术的推广与普及，相关产业经营。承担国家级非遗代表性项目保护工作、国家级非遗代表性项目保护工作，有效提高非遗保护传承受益公众增长率、社会参与非遗保护与传承增长率。支持开展整理创作，编导排练、购置传承设备和服装道具、人才培养、收徒传艺、展示推广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2023年非物质文化遗产保护专项资金项目的实施主体为昌吉回族自治州文化馆（州非遗中心），该单位纳入2023年部门决算编制范围的有4个科室，分别是：办公室，业务部，调研室，非遗中心。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编制人数为16人，其中：事业编制16人。实有在职人数16人，其中：事业在职16人。离退休人员23人，其中：事业退休23人。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24.00万元，资金来源为《关于提前下达2023年度中央非物质文化遗产保护专项资金预算的通知》昌州财教【2022】66号拨付14万元、《关于提前下达2023年度自治区非物质文化遗产保护专项资金预算的通知》昌州财教【2022】67号拨付10万元，其中：财政资金24.00万元，其他资金0.00万元，2023年实际收到预算资金24.00万元，预算资金到位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截至2023年12月31日，本项目实际支付资金23.48万元，预算执行率97.83%。项目资金主要用于支付新疆社火国家代表性项目补助费用13.98万元、支付自治区级非遗代表性传承人补助费用9.50万元。</w:t>
      </w:r>
    </w:p>
    <w:p w14:paraId="18CA091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19CC980C">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国家级非遗代表性项目1个，国家级非遗代表性项目保护工作年度任务完成率达到90.00%，国家级非遗代表性项目保护工作年度任务完成及时率达到90.00%，非遗保护传承受益公众增长率达到5.00%，社会参与非遗保护与传承增长率达到5.00%。支持开展整理创作，编导排练、购置传承设备和服装道具、人才培养、收徒传艺、展示推广等工作。承担国家级非遗代表性项目保护工作、国家级非遗代表性项目保护工作，有效提高非遗保护传承受益公众增长率、社会参与非遗保护与传承增长率，增强非遗传承人群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“补助国家级非遗代表性项目个数”指标，预期指标值为“等于1个”；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“国家级非遗代表性项目保护工作年度任务完成率”指标，预期指标值为“大于等于90.00%”；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“国家级非遗代表性项目保护工作年度任务完成及时率”指标，预期指标值为“大于等于90.00%”；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“国家级非遗代表性项目保护工作年度任务成本”指标，预期指标值为“小于等于14.00万元”；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“自治区级非遗代表性项目保护工作年度任务成本”指标，预期指标值为“小于等于10.00万元”；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“非遗保护传承受益公众增长率”指标，预期指标值为“大于等于5.00%”；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“社会参与非遗保护与传承增长率”指标，预期指标值为“大于等于5.00%”；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“非遗传承人群满意度”指标，预期指标值为“大于等于90.00%”。</w:t>
      </w:r>
    </w:p>
    <w:p w14:paraId="58F1B72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C0C7F94">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68728E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此次我单位根据《财政支出绩效评价管理暂行办法》（财预〔2020〕10号）文件要求实施评价工作，本次评价对象为2023年非物质文化遗产保护专项资金评价核心为项目资金、项目产出、项目效益。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（5）《关于下达昌吉州本级预算单位2023年部门预算的通知》（昌州财建〔2023〕1号）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（6）《昌吉州文化馆内控制度汇编》</w:t>
      </w:r>
    </w:p>
    <w:p w14:paraId="5A3830F4">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8BAEC1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spacing w:val="-4"/>
          <w:sz w:val="32"/>
          <w:szCs w:val="32"/>
        </w:rPr>
        <w:t>以及公众评判法。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5FFF3F6">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773F1AC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3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吴文忠（评价小组组长）：主要负责项目策划和监督，全面负责项目绩效评价办稿的最终质量，对评估人员出具的最终报告质量进行复核，确保评估结果的客观性；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于晶晶（评价小组组员）：主要负责资料的收集，取证、数据统计分析；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王璐（评价小组组员）：主要负责主要负责项目报告的制定，指标的研判，数据分析及报告撰写。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2024年3月4日-3月15日，评价工作进入实施阶段。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经调研了解，该项目主要受益群体包括非遗传承。我们根据绩效评价目标和绩效指标体系，设计满意度调查问卷进行问卷调查，其中非遗传承人受益对象共选取样本19人，共发放问卷19份，最终收回19份。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2024年3月15日-3月26日，评价小组按照绩效评价的原则和规范，对取得的资料进行审查核实，对采集的数据进行分析，按照绩效评价指标评分表逐项进行打分、分析、汇总各方评价结果。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2024年3月26日-3月31日，评价小组撰写绩效评价报告，按照新疆维吾尔自治区财政绩效管理信息系统绩效评价模块中统一格式和文本框架撰写绩效评价报告并提交审核。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4AF237A7">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94DDDE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补助国家级非遗代表性项目1个，国家级非遗代表性项目保护工作年度任务完成率达到100%，国家级非遗代表性项目保护工作年度任务完成及时率达到100%，非遗保护传承受益公众增长率达到8%，社会参与非遗保护与传承增长率达到8%，提升了传承人的积极性，促进了我州非物质文化遗产项目的保护、传承和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19个，实现三级指标数量18个，总体完成率为94.74%。最终评分结果：总分为99.89分，绩效评级为“优”。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过程管理类指标共设置5个，满分指标4个，得分率99.42%；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项目产出类指标共设置5个，满分指标5个，得分率100.00%；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项目效益类指标共设置3个，满分指标3个，得分率100.00%。</w:t>
      </w:r>
    </w:p>
    <w:p w14:paraId="4B46D7C2">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77D01C71">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5E01BA2">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昌吉州财政局颁发的《关于下达昌吉州本级预算单位2023年部门预算的通知》（昌州财预【2023】1号）中：“下达2023年非物质文化遗产保护专项资金”；本项目立项符合《部门主要职能》中：“承担国家级非遗代表性项目保护工作、国家级非遗代表性项目保护工作，有效提高非遗保护传承受益公众增长率、社会参与非遗保护与传承增长率。支持开展整理创作，编导排练、购置传承设备和服装道具、人才培养、收徒传艺、展示推广等工作。”内容，符合行业发展规划和政策要求；本项目立项符合《昌吉州文化馆单位配置内设机构和人员编制规定》中职责范围中的“群众文化艺术活动的研究，指导、组织、辅导群众文化活动，传播科学文化知识“群众文化艺术场所的提供与管理，文化艺术的推广与普及，相关产业经营。”，属于我单位履职所需；根据《财政资金直接支付申请书》，本项目资金性质为“公共财政预算”功能分类为“文化创作与保护”经济分类为“商品和服务支出”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本项目为非基础建设类项目，属于专项资金安排项目，不涉及事前绩效评估、可行性研究以及风险评估，由我单位严格按照《关于下达2023年部门预算批复的通知》(昌州财预〔2023〕01号)文件要求实施项目。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通过项目的实施，完成了补助国家级非遗代表性项目个数、国家级非遗代表性项目保护工作年度任务完成率、国家级非遗代表性项目保护工作年度任务完成及时率等产出目标，促进了我州非物质文化遗产项目的保护、传承和发展。提升了非遗代表性传承人传承能力。”本项目实际工作内容为：非物质文化遗产保护专项资金项目绩效；绩效目标与实际工作内容一致，两者具有相关性;本项目按照绩效目标完成了数量指标、质量指标、时效指标、成本指标，有效提高了非遗保护传承受益公众增长率、社会参与非遗保护与传承增长率，年度绩效目标完成，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8个，定性指标0个，指标量化率为100.00%，量化率达70.00%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本项目预算编制通过往年项目执行情况估算得出，即预算编制较科学且经过论证；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2023年非物质文化遗产保护专项资金，项目实际内容为下达2023年非物质文化遗产保护专项资金，预算申请与《2023年非物质文化遗产保护专项资金》中涉及的项目内容匹配；本项目预算申请资金24.00万元，我单位在预算申请中严格按照单位标准和数量进行核算，其中：国家级非遗代表性项目保护工作经费14.00万元、自治区级非遗代表性项目保护工作经费10.00万元。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2023年非物质文化遗产保护专项资金的请示》和《2023年非物质文化遗产保护专项资金项目实施方案》为依据进行资金分配，预算资金分配依据充分。根据《关于下达2023年部门预算批复的通知》文件显示，本项目实际到位资金24.00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0190BDA5">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8C8015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项目过程管理类指标由2个二级指标和5个三级指标构成，权重分19.00分，实际得分18.89分。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24.00万元，其中：本级财政安排资金24.00万元，其他资金0.00万元，实际到位资金24.00万元，资金到位率=100%（实际到位资金/预算资金）×100.00%=（24/24）*100.00%=100.00%。得分=资金到位率*分值=100.00%*4=4.00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本项目实际支出资金23.48万元，预算执行率=97.83%（实际支出资金/实际到位资金）×100.00%=（23.48/24）*100.00%=97.83%。得分=预算执行率*分值=10000%*5=4.89分。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综上所述，本指标满分为5.00分，根据评分标准得4.89分，本项目资金分配合理。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回族自治州文化馆（州非遗中心）单位资金管理办法》《昌吉回族自治州文化馆（州非遗中心）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回族自治州文化馆（州非遗中心）资金管理办法》《昌吉回族自治州文化馆（州非遗中心）收支业务管理制度》《昌吉回族自治州文化馆（州非遗中心）政府采购业务管理制度》《昌吉回族自治州文化馆（州非遗中心）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项目绩效评价工作领导小组，由党组书记杨永睿任组长，负责项目的组织工作；于晶晶（任副组长，负责项目的实施工作；组员王璐，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1BE91CE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905F61C">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项目产出类指标由4个二级指标和5个三级指标构成，权重分30.00分，实际得分30.00分。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“补助国家级非遗代表性项目个数”指标：预期指标值为“等于1个”，实际完成指标值为“1个”，指标完成率为100.00%。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综上所述，本指标满分为6.00分，根据评分标准得6.00分。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“国家级非遗代表性项目保护工作年度任务完成率”指标：预期指标值为“大于等于90.00%”，实际完成指标值为“等于100.00%”，指标完成率为100.00%。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综上所述，本指标满分为6.00分，根据评分标准得6.00分。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“国家级非遗代表性项目保护工作年度任务完成及时率”指标：预期指标值为“大于等于90.00%”，实际完成指标值为“100.00%”，指标完成率为100.00%。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综上所述，本指标满分为6.00分，根据评分标准得6.00分。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“国家级非遗代表性项目保护工作年度任务成本”指标：预期指标值为“小于等于14.00万元”，实际完成指标值为“等于13.98万元”，指标完成率为100%.00。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综上所述，本指标满分6.00分，根据评分标准得6.00分。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“自治区级非遗代表性项目保护工作年度任务成本”指标：预期指标值为“小于等于10.00万元”，实际完成指标值为“等于9.50万元”，指标完成率为100%.00。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综上所述，本指标满分6.00分，根据评分标准得6.00分。</w:t>
      </w:r>
    </w:p>
    <w:p w14:paraId="54BF76DC">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03FC09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项目效益类指标由1个二级指标和3个三级指标构成，权重分30.00分，实际得分30.00分。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“非遗保护传承收益公众增长率”指标：预期指标值为“大于等于5.00%”，实际完成指标值为“等于8.00%”，指标完成率为100.00%。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“社会参与非遗保护与传承增长率”指标：预期指标值为“大于等于5.00%”，实际完成指标值为“等于8.00%”，指标完成率为100.00%。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“非遗传承人群满意度”指标：预期指标值为“大于等于90.00%”，实际完成指标值为“等于95.00%”，指标完成率为100%.00。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五、预算执行进度与绩效指标偏差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本项目年初预算资金总额为24.00万元，全年预算数为24.00万元，全年执行数为23.48万元，预算执行率为97.83%。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本项目共设置三级指标数量19个，满分指标数量18个，扣分指标数量1个，经分析计算所有三级指标完成率得出，本项目总体完成率为99.89%。</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综上所述本项目预算执行进度与总体完成进度之间的偏差为2.06%。。</w:t>
      </w:r>
    </w:p>
    <w:p w14:paraId="38CD606A">
      <w:pPr>
        <w:spacing w:line="540" w:lineRule="exact"/>
        <w:ind w:firstLine="567"/>
        <w:rPr>
          <w:rStyle w:val="18"/>
          <w:rFonts w:hint="eastAsia" w:ascii="楷体" w:hAnsi="楷体" w:eastAsia="楷体"/>
          <w:spacing w:val="-4"/>
          <w:sz w:val="32"/>
          <w:szCs w:val="32"/>
        </w:rPr>
      </w:pPr>
    </w:p>
    <w:p w14:paraId="39F89561">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14:paraId="10878009">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本项目年初预算资金总额为24.00万元，全年预算数为24.00万元，全年执行数为23.48万元，预算执行率为97.83%。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本项目共设置三级指标数量19个，满分指标数量18个，扣分指标数量1个，经分析计算所有三级指标完成率得出，本项目总体完成率为99.89%。</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综上所述本项目预算执行进度与总体完成进度之间的偏差为2.06%。。</w:t>
      </w:r>
    </w:p>
    <w:p w14:paraId="39478BEC">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8CFAE7C">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我馆结合各类节庆开展丰富多彩的非物质文化遗产传承保护展示展演主题活动。相继参加举办了“灯耀中华 福润新疆”第十届天山南北贺新春非物质文化遗产春节习俗展；第三届新疆国际舞蹈节（昌吉分会场）昌吉州非遗项目交流；“新疆是个好地方”对口援疆19省市非遗展；“文润庭州 魅力非遗”昌吉州非物质文化遗产展示展演技能大赛等活动。并且开展非遗展览进景区、进校园、活动3场次；共计惠及群众达7000人次。同时，为了有效的保护和利用昌吉州非物质文化遗产。拍摄《昌吉遗韵》非遗宣传片；召开昌吉州非遗展馆展陈大纲论证会；2023年申报昌吉回族民间故事、昌吉地名文化、丝路花馍自治区级非遗项目；申报传统手工字画装裱技艺、茶艺州级非遗项目。召开昌吉州第五批非物质文化遗产名录项目及拟申报第六批自治区级非物质文化遗产名录项目评审会，对27个拟申报州级的项目和16个拟申报自治区级的项目进行评审。对2022年国家级项目-新疆社火资金使用情况进行验收和结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文化馆作为州级总馆，不仅要直接组织和指导全州群众文化工作，而且要服务于基层群众，固文化馆的工作量大、工作面广，导致文化馆专业干部缺乏工作激情，不仅事业心、责任心不强，而且管理措施、工作方式都与时代脱节，在品牌意识、精品意识、创先争优意识方面相对欠缺。</w:t>
      </w:r>
    </w:p>
    <w:p w14:paraId="2265850B">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14:paraId="2BADC11A">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针对不足，结合实际，在今后的工作中一是加强全体党员干部的学习，特别是加强理论知识和专业知识的学习，不断加大班子成员对工作的调查研究力度，提前谋划全年和阶段性工作，采取措施，把各项工作落到实处，使工作每年都有实实在在的亮点。同时加强党建工作和业务工作相融合，不断提高我馆全体党员干部的思想政治和业务素质水平，增强党组织的凝聚力、战斗力，增强文化馆号召力、向心力。为公共文化服务保障、提升服务能力作出应有的贡献。</w:t>
      </w:r>
    </w:p>
    <w:p w14:paraId="43D5CE93">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14:paraId="7C62A5D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6F81B532">
      <w:pPr>
        <w:spacing w:line="540" w:lineRule="exact"/>
        <w:ind w:firstLine="567"/>
        <w:rPr>
          <w:rStyle w:val="18"/>
          <w:rFonts w:hint="eastAsia" w:ascii="仿宋" w:hAnsi="仿宋" w:eastAsia="仿宋"/>
          <w:b w:val="0"/>
          <w:spacing w:val="-4"/>
          <w:sz w:val="32"/>
          <w:szCs w:val="32"/>
        </w:rPr>
      </w:pPr>
    </w:p>
    <w:p w14:paraId="5E113C11">
      <w:pPr>
        <w:spacing w:line="540" w:lineRule="exact"/>
        <w:ind w:firstLine="567"/>
        <w:rPr>
          <w:rStyle w:val="18"/>
          <w:rFonts w:hint="eastAsia" w:ascii="仿宋" w:hAnsi="仿宋" w:eastAsia="仿宋"/>
          <w:b w:val="0"/>
          <w:spacing w:val="-4"/>
          <w:sz w:val="32"/>
          <w:szCs w:val="32"/>
        </w:rPr>
      </w:pPr>
    </w:p>
    <w:p w14:paraId="563A5096">
      <w:pPr>
        <w:spacing w:line="540" w:lineRule="exact"/>
        <w:ind w:firstLine="567"/>
        <w:rPr>
          <w:rStyle w:val="18"/>
          <w:rFonts w:hint="eastAsia" w:ascii="仿宋" w:hAnsi="仿宋" w:eastAsia="仿宋"/>
          <w:b w:val="0"/>
          <w:spacing w:val="-4"/>
          <w:sz w:val="32"/>
          <w:szCs w:val="32"/>
        </w:rPr>
      </w:pPr>
    </w:p>
    <w:p w14:paraId="1632605D">
      <w:pPr>
        <w:spacing w:line="540" w:lineRule="exact"/>
        <w:ind w:firstLine="567"/>
        <w:rPr>
          <w:rStyle w:val="18"/>
          <w:rFonts w:hint="eastAsia" w:ascii="仿宋" w:hAnsi="仿宋" w:eastAsia="仿宋"/>
          <w:b w:val="0"/>
          <w:spacing w:val="-4"/>
          <w:sz w:val="32"/>
          <w:szCs w:val="32"/>
        </w:rPr>
      </w:pPr>
    </w:p>
    <w:p w14:paraId="25A78968">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7398DBD">
        <w:pPr>
          <w:pStyle w:val="12"/>
          <w:jc w:val="center"/>
        </w:pPr>
        <w:r>
          <w:fldChar w:fldCharType="begin"/>
        </w:r>
        <w:r>
          <w:instrText xml:space="preserve">PAGE   \* MERGEFORMAT</w:instrText>
        </w:r>
        <w:r>
          <w:fldChar w:fldCharType="separate"/>
        </w:r>
        <w:r>
          <w:rPr>
            <w:lang w:val="zh-CN"/>
          </w:rPr>
          <w:t>2</w:t>
        </w:r>
        <w:r>
          <w:fldChar w:fldCharType="end"/>
        </w:r>
      </w:p>
    </w:sdtContent>
  </w:sdt>
  <w:p w14:paraId="05FF771C">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27554"/>
    <w:rsid w:val="00056465"/>
    <w:rsid w:val="00102DFF"/>
    <w:rsid w:val="0012073C"/>
    <w:rsid w:val="00121AE4"/>
    <w:rsid w:val="00146AAD"/>
    <w:rsid w:val="00151FA7"/>
    <w:rsid w:val="001B3A40"/>
    <w:rsid w:val="00255CCC"/>
    <w:rsid w:val="00291BC0"/>
    <w:rsid w:val="002D4CA8"/>
    <w:rsid w:val="00311DBE"/>
    <w:rsid w:val="004366A8"/>
    <w:rsid w:val="00502BA7"/>
    <w:rsid w:val="005162F1"/>
    <w:rsid w:val="00535153"/>
    <w:rsid w:val="00554F82"/>
    <w:rsid w:val="0056390D"/>
    <w:rsid w:val="005719B0"/>
    <w:rsid w:val="005D10D6"/>
    <w:rsid w:val="00855E3A"/>
    <w:rsid w:val="008F56D5"/>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3CF34E3"/>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10333</Words>
  <Characters>11206</Characters>
  <Lines>81</Lines>
  <Paragraphs>22</Paragraphs>
  <TotalTime>3</TotalTime>
  <ScaleCrop>false</ScaleCrop>
  <LinksUpToDate>false</LinksUpToDate>
  <CharactersWithSpaces>11230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2025-05-28T03:04:50Z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